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04E3D" w14:textId="77777777" w:rsidR="00FC6D75" w:rsidRDefault="00000000" w:rsidP="00113FB1">
      <w:pPr>
        <w:pStyle w:val="Title"/>
      </w:pPr>
      <w:r>
        <w:t>Dissecting the interaction between skill level and mental templates in Late Acheulean handaxe morphology: Archaeological and experimental insights</w:t>
      </w:r>
    </w:p>
    <w:p w14:paraId="11364025" w14:textId="77777777" w:rsidR="00FC6D75" w:rsidRDefault="00000000" w:rsidP="00113FB1">
      <w:pPr>
        <w:pStyle w:val="Author"/>
      </w:pPr>
      <w:r>
        <w:t>Cheng Liu</w:t>
      </w:r>
      <w:r>
        <w:rPr>
          <w:rStyle w:val="FootnoteReference"/>
        </w:rPr>
        <w:footnoteReference w:id="1"/>
      </w:r>
    </w:p>
    <w:p w14:paraId="694797F1" w14:textId="77777777" w:rsidR="00FC6D75" w:rsidRDefault="00000000" w:rsidP="00113FB1">
      <w:pPr>
        <w:pStyle w:val="Author"/>
      </w:pPr>
      <w:r>
        <w:t>Nada Khreisheh</w:t>
      </w:r>
      <w:r>
        <w:rPr>
          <w:rStyle w:val="FootnoteReference"/>
        </w:rPr>
        <w:footnoteReference w:id="2"/>
      </w:r>
    </w:p>
    <w:p w14:paraId="7A9CE3D8" w14:textId="77777777" w:rsidR="00FC6D75" w:rsidRDefault="00000000" w:rsidP="00113FB1">
      <w:pPr>
        <w:pStyle w:val="Author"/>
      </w:pPr>
      <w:r>
        <w:t>Dietrich Stout</w:t>
      </w:r>
      <w:r>
        <w:rPr>
          <w:rStyle w:val="FootnoteReference"/>
        </w:rPr>
        <w:footnoteReference w:id="3"/>
      </w:r>
    </w:p>
    <w:p w14:paraId="6FDDD9DD" w14:textId="77777777" w:rsidR="00FC6D75" w:rsidRDefault="00000000" w:rsidP="00113FB1">
      <w:pPr>
        <w:pStyle w:val="Author"/>
      </w:pPr>
      <w:r>
        <w:t>Justin Pargeter</w:t>
      </w:r>
      <w:r>
        <w:rPr>
          <w:rStyle w:val="FootnoteReference"/>
        </w:rPr>
        <w:footnoteReference w:id="4"/>
      </w:r>
    </w:p>
    <w:p w14:paraId="76F3B8AA" w14:textId="7CB60DBA" w:rsidR="00113FB1" w:rsidRDefault="00113FB1" w:rsidP="00113FB1">
      <w:pPr>
        <w:pStyle w:val="Abstract"/>
        <w:jc w:val="both"/>
      </w:pPr>
      <w:r w:rsidRPr="00113FB1">
        <w:rPr>
          <w:b/>
          <w:bCs/>
        </w:rPr>
        <w:t>Abstract</w:t>
      </w:r>
      <w:r>
        <w:t xml:space="preserve">: </w:t>
      </w:r>
      <w:r w:rsidR="00000000">
        <w:t xml:space="preserve">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w:t>
      </w:r>
    </w:p>
    <w:p w14:paraId="2CFBF1FE" w14:textId="19215E14" w:rsidR="00FC6D75" w:rsidRDefault="00113FB1" w:rsidP="00113FB1">
      <w:pPr>
        <w:pStyle w:val="Abstract"/>
        <w:jc w:val="both"/>
      </w:pPr>
      <w:r w:rsidRPr="00113FB1">
        <w:rPr>
          <w:b/>
          <w:bCs/>
        </w:rPr>
        <w:t>K</w:t>
      </w:r>
      <w:r w:rsidRPr="00113FB1">
        <w:rPr>
          <w:rFonts w:hint="eastAsia"/>
          <w:b/>
          <w:bCs/>
          <w:lang w:eastAsia="zh-CN"/>
        </w:rPr>
        <w:t>ey</w:t>
      </w:r>
      <w:r w:rsidRPr="00113FB1">
        <w:rPr>
          <w:b/>
          <w:bCs/>
        </w:rPr>
        <w:t>words</w:t>
      </w:r>
      <w:r>
        <w:t xml:space="preserve">: </w:t>
      </w:r>
      <w:r w:rsidR="00000000">
        <w:t>Late Acheulean; Handaxe morphology; Boxgrove; Experimental archaeology; Skill level; Mental template; Cultural transmission</w:t>
      </w:r>
    </w:p>
    <w:p w14:paraId="587F56BE" w14:textId="77777777" w:rsidR="00FC6D75" w:rsidRDefault="00000000" w:rsidP="00113FB1">
      <w:pPr>
        <w:pStyle w:val="Heading1"/>
        <w:jc w:val="both"/>
      </w:pPr>
      <w:bookmarkStart w:id="0" w:name="introduction"/>
      <w:r>
        <w:t>Introduction</w:t>
      </w:r>
    </w:p>
    <w:p w14:paraId="282F9D14" w14:textId="77777777" w:rsidR="00FC6D75" w:rsidRDefault="00000000" w:rsidP="00113FB1">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Petraglia &amp; Korisettar, 1998</w:t>
        </w:r>
      </w:hyperlink>
      <w:r>
        <w:t xml:space="preserve">; </w:t>
      </w:r>
      <w:hyperlink w:anchor="ref-white1998">
        <w:r>
          <w:rPr>
            <w:rStyle w:val="Hyperlink"/>
          </w:rPr>
          <w:t>White, 1998</w:t>
        </w:r>
      </w:hyperlink>
      <w:r>
        <w:t xml:space="preserve">). Despite the recurrent narrative emphasizing the </w:t>
      </w:r>
      <w:r>
        <w:lastRenderedPageBreak/>
        <w:t>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Corbey, 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moncel2018a">
        <w:r>
          <w:rPr>
            <w:rStyle w:val="Hyperlink"/>
          </w:rPr>
          <w:t>Moncel et al., 2018b</w:t>
        </w:r>
      </w:hyperlink>
      <w:r>
        <w:t xml:space="preserve">, </w:t>
      </w:r>
      <w:hyperlink w:anchor="ref-moncel2018b">
        <w:r>
          <w:rPr>
            <w:rStyle w:val="Hyperlink"/>
          </w:rPr>
          <w:t>2018c</w:t>
        </w:r>
      </w:hyperlink>
      <w:r>
        <w:t xml:space="preserve">, </w:t>
      </w:r>
      <w:hyperlink w:anchor="ref-moncel2018c">
        <w:r>
          <w:rPr>
            <w:rStyle w:val="Hyperlink"/>
          </w:rPr>
          <w:t>2018a</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2014b</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knapper skill levels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 (</w:t>
      </w:r>
      <w:hyperlink w:anchor="ref-stout2014">
        <w:r>
          <w:rPr>
            <w:rStyle w:val="Hyperlink"/>
          </w:rPr>
          <w:t>2014</w:t>
        </w:r>
      </w:hyperlink>
      <w:r>
        <w:t>) focusing on inferring knapping skill level and Garcia-Medrano et al. (</w:t>
      </w:r>
      <w:hyperlink w:anchor="ref-garcía-medrano2019">
        <w:r>
          <w:rPr>
            <w:rStyle w:val="Hyperlink"/>
          </w:rPr>
          <w:t>2019</w:t>
        </w:r>
      </w:hyperlink>
      <w:r>
        <w:t>) identifying the mental template of the Boxgrove assemblage. Our paper incorporates these two perspectives into a broader conceptual framework of cultural reproduction and provides novel insights to the same archaeological assemblage by comparing it with experimentally made handaxes.</w:t>
      </w:r>
    </w:p>
    <w:p w14:paraId="45A9CAE0" w14:textId="77777777" w:rsidR="00FC6D75" w:rsidRDefault="00000000" w:rsidP="00113FB1">
      <w:pPr>
        <w:pStyle w:val="Heading2"/>
        <w:jc w:val="both"/>
      </w:pPr>
      <w:bookmarkStart w:id="1" w:name="mental-template"/>
      <w:r>
        <w:t>Mental template</w:t>
      </w:r>
    </w:p>
    <w:p w14:paraId="1DD8DF93" w14:textId="77777777" w:rsidR="00FC6D75" w:rsidRDefault="00000000" w:rsidP="00113FB1">
      <w:pPr>
        <w:pStyle w:val="FirstParagraph"/>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Combined with the production of large flakes, the emergence of mental templates (or “imposed form”) has been recognized as a major technological innovation of the Acheulean compared with the Oldowan (</w:t>
      </w:r>
      <w:hyperlink w:anchor="ref-isaac1986">
        <w:r>
          <w:rPr>
            <w:rStyle w:val="Hyperlink"/>
          </w:rPr>
          <w:t>Isaac, 1986</w:t>
        </w:r>
      </w:hyperlink>
      <w:r>
        <w:t>). For a decade or so, this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xml:space="preserve">), and c) </w:t>
      </w:r>
      <w:r>
        <w:lastRenderedPageBreak/>
        <w:t>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To avoid the historical baggage associated with this controversial term, some researchers developed alternative frameworks such as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The major difference between the concepts of design imperatives and mental templates lies in the fact that the former does not necessarily require the presence of explicit internal representations of form, where the shape of handaxes can instead emerge “through the coalescence of ergonomic needs in the manipulation of large cutting tools (</w:t>
      </w:r>
      <w:hyperlink w:anchor="ref-wynn2021">
        <w:r>
          <w:rPr>
            <w:rStyle w:val="Hyperlink"/>
          </w:rPr>
          <w:t>Wynn, 2021</w:t>
        </w:r>
      </w:hyperlink>
      <w:r>
        <w:t>: 185).”</w:t>
      </w:r>
    </w:p>
    <w:p w14:paraId="2405C8F8" w14:textId="77777777" w:rsidR="00FC6D75" w:rsidRDefault="00000000" w:rsidP="00113FB1">
      <w:pPr>
        <w:pStyle w:val="BodyText"/>
        <w:jc w:val="both"/>
      </w:pPr>
      <w:r>
        <w:t>Recently, researchers have actively addressed the above-mentioned critiques and reconceptualized the concept of mental template in the study of handaxe morphology. Regarding the normative and static assumptions, Hutchence and Scott (</w:t>
      </w:r>
      <w:hyperlink w:anchor="ref-hutchence2021">
        <w:r>
          <w:rPr>
            <w:rStyle w:val="Hyperlink"/>
          </w:rPr>
          <w:t>2021</w:t>
        </w:r>
      </w:hyperlink>
      <w:r>
        <w:t>), for example, leveraged the theory of “community of practice” (</w:t>
      </w:r>
      <w:hyperlink w:anchor="ref-wenger1998">
        <w:r>
          <w:rPr>
            <w:rStyle w:val="Hyperlink"/>
          </w:rPr>
          <w:t>Wenger, 1998</w:t>
        </w:r>
      </w:hyperlink>
      <w:r>
        <w:t>) 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656-657) also suggested that these random experiments cannot produce “attributes like the congruent symmetries of handaxes seen in the Late Acheulean.” 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14:paraId="0CFB9F46" w14:textId="77777777" w:rsidR="00FC6D75" w:rsidRDefault="00000000" w:rsidP="00113FB1">
      <w:pPr>
        <w:pStyle w:val="Heading2"/>
        <w:jc w:val="both"/>
      </w:pPr>
      <w:bookmarkStart w:id="2" w:name="skill-level"/>
      <w:bookmarkEnd w:id="1"/>
      <w:r>
        <w:t>Skill level</w:t>
      </w:r>
    </w:p>
    <w:p w14:paraId="2C19F75B" w14:textId="77777777" w:rsidR="00FC6D75" w:rsidRDefault="00000000" w:rsidP="00113FB1">
      <w:pPr>
        <w:pStyle w:val="FirstParagraph"/>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 xml:space="preserve">Connolly &amp; </w:t>
        </w:r>
        <w:r>
          <w:rPr>
            <w:rStyle w:val="Hyperlink"/>
          </w:rPr>
          <w:lastRenderedPageBreak/>
          <w:t>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 When contextual information is less readily available as in the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almost applied in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xml:space="preserve">; </w:t>
      </w:r>
      <w:hyperlink w:anchor="ref-whittaker2004">
        <w:r>
          <w:rPr>
            <w:rStyle w:val="Hyperlink"/>
          </w:rPr>
          <w:t>Whittaker, 2004</w:t>
        </w:r>
      </w:hyperlink>
      <w:r>
        <w:t>: 180-182) have been frequently quoted as reliable and distinctive indicators of the skill level as supported by several experimental studies. These two features 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7B331700" w14:textId="77777777" w:rsidR="00FC6D75" w:rsidRDefault="00000000" w:rsidP="00113FB1">
      <w:pPr>
        <w:pStyle w:val="Heading2"/>
        <w:jc w:val="both"/>
      </w:pPr>
      <w:bookmarkStart w:id="3" w:name="cultural-reproduction"/>
      <w:bookmarkEnd w:id="2"/>
      <w:r>
        <w:t>Cultural reproduction</w:t>
      </w:r>
    </w:p>
    <w:p w14:paraId="72065CFF" w14:textId="77777777" w:rsidR="00FC6D75" w:rsidRDefault="00000000" w:rsidP="00113FB1">
      <w:pPr>
        <w:pStyle w:val="FirstParagraph"/>
        <w:jc w:val="both"/>
      </w:pPr>
      <w:r>
        <w:t>The cultural reproduction, or cultural transmission as described in standard cultural evolutionary literature (</w:t>
      </w:r>
      <w:hyperlink w:anchor="ref-eerkens2005">
        <w:r>
          <w:rPr>
            <w:rStyle w:val="Hyperlink"/>
          </w:rPr>
          <w:t>Eerkens &amp; Lipo, 2005</w:t>
        </w:r>
      </w:hyperlink>
      <w:r>
        <w:t xml:space="preserve">, </w:t>
      </w:r>
      <w:hyperlink w:anchor="ref-eerkens2007">
        <w:r>
          <w:rPr>
            <w:rStyle w:val="Hyperlink"/>
          </w:rPr>
          <w:t>2007</w:t>
        </w:r>
      </w:hyperlink>
      <w:r>
        <w:t>), of mental templates and skill levels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 (</w:t>
      </w:r>
      <w:hyperlink w:anchor="ref-schillingerConsideringRoleTime2014">
        <w:r>
          <w:rPr>
            <w:rStyle w:val="Hyperlink"/>
          </w:rPr>
          <w:t>Schillinger et al., 2014b</w:t>
        </w:r>
      </w:hyperlink>
      <w:r>
        <w:t xml:space="preserve">, </w:t>
      </w:r>
      <w:hyperlink w:anchor="ref-schillinger2017">
        <w:r>
          <w:rPr>
            <w:rStyle w:val="Hyperlink"/>
          </w:rPr>
          <w:t>2017</w:t>
        </w:r>
      </w:hyperlink>
      <w:r>
        <w:t xml:space="preserve">, </w:t>
      </w:r>
      <w:hyperlink w:anchor="ref-schillinger2015">
        <w:r>
          <w:rPr>
            <w:rStyle w:val="Hyperlink"/>
          </w:rPr>
          <w:t>2015</w:t>
        </w:r>
      </w:hyperlink>
      <w:r>
        <w:t>), while how knapping skill as another source of variation is reproduced during the learning process and how it moderates the material manifestation of mental templates has been rarely discussed. The ignorance of the latter becomes one of motivations behind our terminological choice of “reproduction” over “transmission”, where the former implies more than just the copying of an static image with information loss (</w:t>
      </w:r>
      <w:hyperlink w:anchor="ref-liu2022">
        <w:r>
          <w:rPr>
            <w:rStyle w:val="Hyperlink"/>
          </w:rPr>
          <w:t>Liu &amp; Stout, 2022</w:t>
        </w:r>
      </w:hyperlink>
      <w:r>
        <w:t xml:space="preserve">; </w:t>
      </w:r>
      <w:hyperlink w:anchor="ref-stout2021a">
        <w:r>
          <w:rPr>
            <w:rStyle w:val="Hyperlink"/>
          </w:rPr>
          <w:t>Stout, 2021</w:t>
        </w:r>
      </w:hyperlink>
      <w:r>
        <w:t>). This reframing essentially echoes the stance of extended evolutionary synthesis (EES) on inclusive inheritance that phenotypes are not inherited but reconstructed in development (</w:t>
      </w:r>
      <w:hyperlink w:anchor="ref-laland2015">
        <w:r>
          <w:rPr>
            <w:rStyle w:val="Hyperlink"/>
          </w:rPr>
          <w:t>Laland et al., 2015</w:t>
        </w:r>
      </w:hyperlink>
      <w:r>
        <w:t>: 5), which has also received more attention recently in the domain of cultural evolution (</w:t>
      </w:r>
      <w:hyperlink w:anchor="ref-charbonneau2022">
        <w:r>
          <w:rPr>
            <w:rStyle w:val="Hyperlink"/>
          </w:rPr>
          <w:t>Charbonneau &amp; Strachan, 2022</w:t>
        </w:r>
      </w:hyperlink>
      <w:r>
        <w:t xml:space="preserve">; </w:t>
      </w:r>
      <w:hyperlink w:anchor="ref-strachan2021">
        <w:r>
          <w:rPr>
            <w:rStyle w:val="Hyperlink"/>
          </w:rPr>
          <w:t>Strachan et al., 2021</w:t>
        </w:r>
      </w:hyperlink>
      <w:r>
        <w:t>).</w:t>
      </w:r>
    </w:p>
    <w:p w14:paraId="792AA888" w14:textId="77777777" w:rsidR="00FC6D75" w:rsidRDefault="00000000" w:rsidP="00113FB1">
      <w:pPr>
        <w:pStyle w:val="BodyText"/>
        <w:jc w:val="both"/>
      </w:pPr>
      <w:r>
        <w:t xml:space="preserve">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w:t>
      </w:r>
      <w:r>
        <w:lastRenderedPageBreak/>
        <w:t>sample produced by modern novice knappers. We generated the novice handaxe collection from a 90-hour skill acquisition experiment providing the opportunity to introduce the diachronic dimension of training time and interrogate its impact on the variables of interest. As such, we propose the following two interconnected research questions in this article: 1) Can skill level and mental templates be efficiently detected from handaxe morphometric data? Accordingly, we predict that the morphometric variables showing overlap between Boxgrove and expert samples while being markedly different from novice samples reflect skill level differences, and all three group should show a similar mental template since this is a common target. 2) Does training has a differential effect in terms of the reproduction of skill level and mental templates among novices? Our hypothesis is that throughout the training the novice samples should become more similar to expert samples in both skill level and mental template, but the acquisition of the former aspect will be more challenging and thereby slower than the latter aspect. This hypothesis is informed by the previous study of Pargeter et al. (</w:t>
      </w:r>
      <w:hyperlink w:anchor="ref-pargeter2020">
        <w:r>
          <w:rPr>
            <w:rStyle w:val="Hyperlink"/>
          </w:rPr>
          <w:t>2020</w:t>
        </w:r>
      </w:hyperlink>
      <w:r>
        <w:t>) showing that in handaxe manufacture novices’ predictions of the contour of flakes to be removed are highly similar to those of expert knappers, while novices do not have the right forces and accuracy to successfully remove their target flakes to produce a nice handaxe.</w:t>
      </w:r>
    </w:p>
    <w:p w14:paraId="74905A05" w14:textId="77777777" w:rsidR="00FC6D75" w:rsidRDefault="00000000" w:rsidP="00113FB1">
      <w:pPr>
        <w:pStyle w:val="Heading1"/>
        <w:jc w:val="both"/>
      </w:pPr>
      <w:bookmarkStart w:id="4" w:name="materials-and-methods"/>
      <w:bookmarkEnd w:id="0"/>
      <w:bookmarkEnd w:id="3"/>
      <w:r>
        <w:t>Materials and methods</w:t>
      </w:r>
    </w:p>
    <w:p w14:paraId="60DA7251" w14:textId="77777777" w:rsidR="00FC6D75" w:rsidRDefault="00000000" w:rsidP="00113FB1">
      <w:pPr>
        <w:pStyle w:val="Heading2"/>
        <w:jc w:val="both"/>
      </w:pPr>
      <w:bookmarkStart w:id="5" w:name="boxgrove-handaxe-collection"/>
      <w:r>
        <w:t>Boxgrove handaxe collection</w:t>
      </w:r>
    </w:p>
    <w:p w14:paraId="37607B0C" w14:textId="77777777" w:rsidR="00FC6D75" w:rsidRDefault="00000000" w:rsidP="00113FB1">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and their paleoenvironmental contexts (</w:t>
      </w:r>
      <w:hyperlink w:anchor="ref-holmes2010">
        <w:r>
          <w:rPr>
            <w:rStyle w:val="Hyperlink"/>
          </w:rPr>
          <w:t>Holmes et al., 2010</w:t>
        </w:r>
      </w:hyperlink>
      <w:r>
        <w:t xml:space="preserve">; </w:t>
      </w:r>
      <w:hyperlink w:anchor="ref-preece2022">
        <w:r>
          <w:rPr>
            <w:rStyle w:val="Hyperlink"/>
          </w:rPr>
          <w:t>Preece &amp; Parfitt, 2022</w:t>
        </w:r>
      </w:hyperlink>
      <w:r>
        <w:t xml:space="preserve">). In addition to the presence of one of the earliest hominin fossil (tentatively assigned to </w:t>
      </w:r>
      <w:r>
        <w:rPr>
          <w:i/>
          <w:iCs/>
        </w:rPr>
        <w:t>Homo heidelbergensis</w:t>
      </w:r>
      <w:r>
        <w:t xml:space="preserve">, </w:t>
      </w:r>
      <w:hyperlink w:anchor="ref-hillson2010">
        <w:r>
          <w:rPr>
            <w:rStyle w:val="Hyperlink"/>
          </w:rPr>
          <w:t>Hillson et al., 2010</w:t>
        </w:r>
      </w:hyperlink>
      <w:r>
        <w:t xml:space="preserve">; </w:t>
      </w:r>
      <w:hyperlink w:anchor="ref-lockey2022">
        <w:r>
          <w:rPr>
            <w:rStyle w:val="Hyperlink"/>
          </w:rPr>
          <w:t>Lockey et al., 2022</w:t>
        </w:r>
      </w:hyperlink>
      <w:r>
        <w:t xml:space="preserve">; </w:t>
      </w:r>
      <w:hyperlink w:anchor="ref-roberts1994">
        <w:r>
          <w:rPr>
            <w:rStyle w:val="Hyperlink"/>
          </w:rPr>
          <w:t>Roberts et al., 1994</w:t>
        </w:r>
      </w:hyperlink>
      <w:r>
        <w:t>) and bone assemblages with anthropogenic modifications in northern Europe (</w:t>
      </w:r>
      <w:hyperlink w:anchor="ref-bello2009">
        <w:r>
          <w:rPr>
            <w:rStyle w:val="Hyperlink"/>
          </w:rPr>
          <w:t>Bello et al., 2009</w:t>
        </w:r>
      </w:hyperlink>
      <w:r>
        <w:t>), Boxgrove is mostly known for its large sample size of Late Acheulean-style flint handaxes and the high skill level reflected in their manufacture (</w:t>
      </w:r>
      <w:r>
        <w:rPr>
          <w:b/>
          <w:bCs/>
        </w:rPr>
        <w:t>Figure</w:t>
      </w:r>
      <w:r>
        <w:t xml:space="preserve"> @ref(fig:photos)).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Iovita &amp; McPherron, 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identify the morphological manifestation of knappers’ skill level in our study,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0B5D4B3D" w14:textId="77777777" w:rsidR="00FC6D75" w:rsidRDefault="00000000" w:rsidP="00113FB1">
      <w:pPr>
        <w:pStyle w:val="CaptionedFigure"/>
        <w:jc w:val="center"/>
      </w:pPr>
      <w:r>
        <w:rPr>
          <w:noProof/>
        </w:rPr>
        <w:lastRenderedPageBreak/>
        <w:drawing>
          <wp:inline distT="0" distB="0" distL="0" distR="0" wp14:anchorId="5C7EEB44" wp14:editId="2BF59350">
            <wp:extent cx="3990975" cy="7396163"/>
            <wp:effectExtent l="0" t="0" r="0" b="0"/>
            <wp:docPr id="33"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4" name="Picture" descr="C:/FilesVC/Boxgrove-Exp/figure/Fig1.jpg"/>
                    <pic:cNvPicPr>
                      <a:picLocks noChangeAspect="1" noChangeArrowheads="1"/>
                    </pic:cNvPicPr>
                  </pic:nvPicPr>
                  <pic:blipFill>
                    <a:blip r:embed="rId7"/>
                    <a:stretch>
                      <a:fillRect/>
                    </a:stretch>
                  </pic:blipFill>
                  <pic:spPr bwMode="auto">
                    <a:xfrm>
                      <a:off x="0" y="0"/>
                      <a:ext cx="3991915" cy="7397906"/>
                    </a:xfrm>
                    <a:prstGeom prst="rect">
                      <a:avLst/>
                    </a:prstGeom>
                    <a:noFill/>
                    <a:ln w="9525">
                      <a:noFill/>
                      <a:headEnd/>
                      <a:tailEnd/>
                    </a:ln>
                  </pic:spPr>
                </pic:pic>
              </a:graphicData>
            </a:graphic>
          </wp:inline>
        </w:drawing>
      </w:r>
    </w:p>
    <w:p w14:paraId="151C0867" w14:textId="77777777" w:rsidR="00FC6D75" w:rsidRDefault="00000000" w:rsidP="00113FB1">
      <w:pPr>
        <w:pStyle w:val="ImageCaption"/>
        <w:jc w:val="both"/>
      </w:pPr>
      <w:r>
        <w:t>A selection of Boxgrove handaxes and modern replicas produced by experts and novices.</w:t>
      </w:r>
    </w:p>
    <w:p w14:paraId="6F7B1575" w14:textId="77777777" w:rsidR="00FC6D75" w:rsidRDefault="00000000" w:rsidP="00113FB1">
      <w:pPr>
        <w:pStyle w:val="Heading2"/>
        <w:jc w:val="both"/>
      </w:pPr>
      <w:bookmarkStart w:id="6" w:name="experimental-handaxe-collection"/>
      <w:bookmarkEnd w:id="5"/>
      <w:r>
        <w:lastRenderedPageBreak/>
        <w:t>Experimental handaxe collection</w:t>
      </w:r>
    </w:p>
    <w:p w14:paraId="5FF312A0" w14:textId="77777777" w:rsidR="00FC6D75" w:rsidRDefault="00000000" w:rsidP="00113FB1">
      <w:pPr>
        <w:pStyle w:val="FirstParagraph"/>
        <w:jc w:val="both"/>
      </w:pPr>
      <w:r>
        <w:t>The handaxe experimental replicas used in this study comprised two sub-collection (</w:t>
      </w:r>
      <w:r>
        <w:rPr>
          <w:b/>
          <w:bCs/>
        </w:rPr>
        <w:t>Figure</w:t>
      </w:r>
      <w:r>
        <w:t xml:space="preserve"> @ref(fig:photos)).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0B1E7E56" w14:textId="77777777" w:rsidR="00FC6D75" w:rsidRDefault="00000000" w:rsidP="00113FB1">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 (</w:t>
      </w:r>
      <w:hyperlink w:anchor="ref-khreisheh2013">
        <w:r>
          <w:rPr>
            <w:rStyle w:val="Hyperlink"/>
          </w:rPr>
          <w:t>Khreisheh et al., 2013</w:t>
        </w:r>
      </w:hyperlink>
      <w:r>
        <w:t>)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2BE16689" w14:textId="77777777" w:rsidR="00FC6D75" w:rsidRDefault="00000000" w:rsidP="00113FB1">
      <w:pPr>
        <w:pStyle w:val="BodyText"/>
        <w:jc w:val="both"/>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w:t>
      </w:r>
      <w:r>
        <w:lastRenderedPageBreak/>
        <w:t>(assessment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01275F94" w14:textId="77777777" w:rsidR="00FC6D75" w:rsidRDefault="00000000" w:rsidP="00113FB1">
      <w:pPr>
        <w:pStyle w:val="Heading2"/>
        <w:jc w:val="both"/>
      </w:pPr>
      <w:bookmarkStart w:id="7" w:name="lithic-analysis"/>
      <w:bookmarkEnd w:id="6"/>
      <w:r>
        <w:t>Lithic analysis</w:t>
      </w:r>
    </w:p>
    <w:p w14:paraId="5E8A6105" w14:textId="77777777" w:rsidR="00FC6D75" w:rsidRDefault="00000000" w:rsidP="00113FB1">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to measure the maximum length, width, and thickness of a given silhouette. The width and thickness measurements are taken at 10% increments of length starting at the tip of each handaxe (</w:t>
      </w:r>
      <w:r>
        <w:rPr>
          <w:b/>
          <w:bCs/>
        </w:rPr>
        <w:t>Figure</w:t>
      </w:r>
      <w:r>
        <w:t xml:space="preserve"> @ref(fig:ImageJ)),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7DB8D5C1" w14:textId="77777777" w:rsidR="00FC6D75" w:rsidRDefault="00000000" w:rsidP="00113FB1">
      <w:pPr>
        <w:pStyle w:val="CaptionedFigure"/>
        <w:jc w:val="center"/>
      </w:pPr>
      <w:r>
        <w:rPr>
          <w:noProof/>
        </w:rPr>
        <w:drawing>
          <wp:inline distT="0" distB="0" distL="0" distR="0" wp14:anchorId="09C80124" wp14:editId="58E0787A">
            <wp:extent cx="3013398" cy="2723354"/>
            <wp:effectExtent l="0" t="0" r="0" b="0"/>
            <wp:docPr id="39"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40"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36ED49B8" w14:textId="77777777" w:rsidR="00FC6D75" w:rsidRDefault="00000000" w:rsidP="00113FB1">
      <w:pPr>
        <w:pStyle w:val="ImageCaption"/>
        <w:jc w:val="both"/>
      </w:pPr>
      <w:r>
        <w:t>A visual demonstration of the handaxe measurement protocol using Image J (after Pargeter et al. 2019: Figure 5).</w:t>
      </w:r>
    </w:p>
    <w:p w14:paraId="4831F461" w14:textId="77777777" w:rsidR="00FC6D75" w:rsidRDefault="00000000" w:rsidP="00113FB1">
      <w:pPr>
        <w:pStyle w:val="Heading2"/>
        <w:jc w:val="both"/>
      </w:pPr>
      <w:bookmarkStart w:id="8" w:name="statistical-analyses"/>
      <w:bookmarkEnd w:id="7"/>
      <w:r>
        <w:lastRenderedPageBreak/>
        <w:t>Statistical analyses</w:t>
      </w:r>
    </w:p>
    <w:p w14:paraId="3F791397" w14:textId="77777777" w:rsidR="00FC6D75" w:rsidRDefault="00000000" w:rsidP="00113FB1">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22F16658" w14:textId="77777777" w:rsidR="00FC6D75" w:rsidRDefault="00000000" w:rsidP="00113FB1">
      <w:pPr>
        <w:pStyle w:val="Heading1"/>
        <w:jc w:val="both"/>
      </w:pPr>
      <w:bookmarkStart w:id="9" w:name="results"/>
      <w:bookmarkEnd w:id="4"/>
      <w:bookmarkEnd w:id="8"/>
      <w:r>
        <w:t>Results</w:t>
      </w:r>
    </w:p>
    <w:p w14:paraId="21EFF352" w14:textId="77777777" w:rsidR="00FC6D75" w:rsidRDefault="00000000" w:rsidP="00113FB1">
      <w:pPr>
        <w:pStyle w:val="Heading2"/>
        <w:jc w:val="both"/>
      </w:pPr>
      <w:bookmarkStart w:id="10" w:name="principal-component-analysis"/>
      <w:r>
        <w:t>Principal component analysis</w:t>
      </w:r>
    </w:p>
    <w:p w14:paraId="0D5650DB" w14:textId="77777777" w:rsidR="00FC6D75" w:rsidRDefault="00000000" w:rsidP="00113FB1">
      <w:pPr>
        <w:pStyle w:val="FirstParagraph"/>
        <w:jc w:val="both"/>
      </w:pPr>
      <w:r>
        <w:t>Our analysis suggested that the first two components already explain 77.2% of the variation for the entire morphometric data set composed of 19 variables (</w:t>
      </w:r>
      <w:r>
        <w:rPr>
          <w:b/>
          <w:bCs/>
        </w:rPr>
        <w:t>Figure</w:t>
      </w:r>
      <w:r>
        <w:t xml:space="preserve"> @ref(fig:Screeplot)), which is a rather reasonable variance ratio to avoid overfitting. Variable loadings (</w:t>
      </w:r>
      <w:r>
        <w:rPr>
          <w:b/>
          <w:bCs/>
        </w:rPr>
        <w:t>Table</w:t>
      </w:r>
      <w:r>
        <w:t xml:space="preserve"> @ref(tab:tab1)) indicate that the first principal component (PC1) captures relative cross-sectional thickness (“refinement”).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14:paraId="4368A0A6" w14:textId="77777777" w:rsidR="00FC6D75" w:rsidRDefault="00000000" w:rsidP="00113FB1">
      <w:pPr>
        <w:pStyle w:val="CaptionedFigure"/>
        <w:jc w:val="both"/>
      </w:pPr>
      <w:r>
        <w:rPr>
          <w:noProof/>
        </w:rPr>
        <w:lastRenderedPageBreak/>
        <w:drawing>
          <wp:inline distT="0" distB="0" distL="0" distR="0" wp14:anchorId="367AB537" wp14:editId="1C86D11B">
            <wp:extent cx="5943600" cy="3941796"/>
            <wp:effectExtent l="0" t="0" r="0" b="0"/>
            <wp:docPr id="46"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3.png"/>
                    <pic:cNvPicPr>
                      <a:picLocks noChangeAspect="1" noChangeArrowheads="1"/>
                    </pic:cNvPicPr>
                  </pic:nvPicPr>
                  <pic:blipFill>
                    <a:blip r:embed="rId11"/>
                    <a:stretch>
                      <a:fillRect/>
                    </a:stretch>
                  </pic:blipFill>
                  <pic:spPr bwMode="auto">
                    <a:xfrm>
                      <a:off x="0" y="0"/>
                      <a:ext cx="5943600" cy="3941796"/>
                    </a:xfrm>
                    <a:prstGeom prst="rect">
                      <a:avLst/>
                    </a:prstGeom>
                    <a:noFill/>
                    <a:ln w="9525">
                      <a:noFill/>
                      <a:headEnd/>
                      <a:tailEnd/>
                    </a:ln>
                  </pic:spPr>
                </pic:pic>
              </a:graphicData>
            </a:graphic>
          </wp:inline>
        </w:drawing>
      </w:r>
    </w:p>
    <w:p w14:paraId="1FE7D7E6" w14:textId="77777777" w:rsidR="00FC6D75" w:rsidRDefault="00000000" w:rsidP="00113FB1">
      <w:pPr>
        <w:pStyle w:val="ImageCaption"/>
        <w:jc w:val="both"/>
      </w:pPr>
      <w:r>
        <w:t>A scree plot showing the percentage of explained variances of the first 10 principal components.</w:t>
      </w:r>
    </w:p>
    <w:p w14:paraId="1C5252FF" w14:textId="77777777" w:rsidR="00FC6D75" w:rsidRDefault="00000000" w:rsidP="00113FB1">
      <w:pPr>
        <w:pStyle w:val="BodyText"/>
        <w:jc w:val="both"/>
      </w:pPr>
      <w:r>
        <w:t>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14:paraId="0FBFCC37" w14:textId="77777777" w:rsidR="00FC6D75" w:rsidRDefault="00000000" w:rsidP="00113FB1">
      <w:pPr>
        <w:pStyle w:val="BodyText"/>
        <w:jc w:val="both"/>
      </w:pPr>
      <w:r>
        <w:t>A closer look at the principal component scatter plot (</w:t>
      </w:r>
      <w:r>
        <w:rPr>
          <w:b/>
          <w:bCs/>
        </w:rPr>
        <w:t>Figure</w:t>
      </w:r>
      <w:r>
        <w:t xml:space="preserve"> @ref(</w:t>
      </w:r>
      <w:proofErr w:type="gramStart"/>
      <w:r>
        <w:t>fig:GeneralPCA</w:t>
      </w:r>
      <w:proofErr w:type="gramEnd"/>
      <w:r>
        <w:t>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4C0A2056" w14:textId="77777777" w:rsidR="00FC6D75" w:rsidRDefault="00000000" w:rsidP="00113FB1">
      <w:pPr>
        <w:pStyle w:val="CaptionedFigure"/>
        <w:jc w:val="both"/>
      </w:pPr>
      <w:r>
        <w:rPr>
          <w:noProof/>
        </w:rPr>
        <w:lastRenderedPageBreak/>
        <w:drawing>
          <wp:inline distT="0" distB="0" distL="0" distR="0" wp14:anchorId="7B10AF47" wp14:editId="4A213905">
            <wp:extent cx="5943600" cy="3941796"/>
            <wp:effectExtent l="0" t="0" r="0" b="0"/>
            <wp:docPr id="49" name="Picture" descr="A principal component scatter plot of handaxes from the groups of Boxgrove (red, n=326), expert (green, n=10), and novice (blue, n=132)."/>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4.png"/>
                    <pic:cNvPicPr>
                      <a:picLocks noChangeAspect="1" noChangeArrowheads="1"/>
                    </pic:cNvPicPr>
                  </pic:nvPicPr>
                  <pic:blipFill>
                    <a:blip r:embed="rId12"/>
                    <a:stretch>
                      <a:fillRect/>
                    </a:stretch>
                  </pic:blipFill>
                  <pic:spPr bwMode="auto">
                    <a:xfrm>
                      <a:off x="0" y="0"/>
                      <a:ext cx="5943600" cy="3941796"/>
                    </a:xfrm>
                    <a:prstGeom prst="rect">
                      <a:avLst/>
                    </a:prstGeom>
                    <a:noFill/>
                    <a:ln w="9525">
                      <a:noFill/>
                      <a:headEnd/>
                      <a:tailEnd/>
                    </a:ln>
                  </pic:spPr>
                </pic:pic>
              </a:graphicData>
            </a:graphic>
          </wp:inline>
        </w:drawing>
      </w:r>
    </w:p>
    <w:p w14:paraId="3B877296" w14:textId="77777777" w:rsidR="00FC6D75" w:rsidRDefault="00000000" w:rsidP="00113FB1">
      <w:pPr>
        <w:pStyle w:val="ImageCaption"/>
        <w:jc w:val="both"/>
      </w:pPr>
      <w:r>
        <w:t>A principal component scatter plot of handaxes from the groups of Boxgrove (red, n=326), expert (green, n=10), and novice (blue, n=132).</w:t>
      </w:r>
    </w:p>
    <w:p w14:paraId="5643BB2F" w14:textId="77777777" w:rsidR="00FC6D75" w:rsidRDefault="00000000" w:rsidP="00113FB1">
      <w:pPr>
        <w:pStyle w:val="BodyText"/>
        <w:jc w:val="both"/>
      </w:pPr>
      <w:r>
        <w:t>In addition, visual inspection of the principle component scatter plot (</w:t>
      </w:r>
      <w:r>
        <w:rPr>
          <w:b/>
          <w:bCs/>
        </w:rPr>
        <w:t>Figure</w:t>
      </w:r>
      <w:r>
        <w:t xml:space="preserve"> @ref(fig:GeneralPCA1)) suggested that PC1 and PC2 might be negatively correlated within the Boxgrove and Expert groups. To test this, we conducted a series of exploratory plotting and statistical analyses of the PC values of three groups analyzed in our analysis (</w:t>
      </w:r>
      <w:r>
        <w:rPr>
          <w:b/>
          <w:bCs/>
        </w:rPr>
        <w:t>Figure</w:t>
      </w:r>
      <w:r>
        <w:t xml:space="preserve"> @ref(fig:PCcorrelation)). Across all three groups, a negative correlation has been displayed between the PC1 and PC2 values, although this trend is not statistically significant (r=-0.41, p= 0.24) in the expert group, probably because of its small sample size.</w:t>
      </w:r>
    </w:p>
    <w:p w14:paraId="7F70D9FB" w14:textId="77777777" w:rsidR="00FC6D75" w:rsidRDefault="00000000" w:rsidP="00113FB1">
      <w:pPr>
        <w:pStyle w:val="CaptionedFigure"/>
        <w:jc w:val="both"/>
      </w:pPr>
      <w:r>
        <w:rPr>
          <w:noProof/>
        </w:rPr>
        <w:lastRenderedPageBreak/>
        <w:drawing>
          <wp:inline distT="0" distB="0" distL="0" distR="0" wp14:anchorId="779542F7" wp14:editId="3436E8E1">
            <wp:extent cx="5943600" cy="2971800"/>
            <wp:effectExtent l="0" t="0" r="0" b="0"/>
            <wp:docPr id="52"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3" name="Picture" descr="C:/FilesVC/Boxgrove-Exp/figure/Fig5.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27675F35" w14:textId="77777777" w:rsidR="00FC6D75" w:rsidRDefault="00000000" w:rsidP="00113FB1">
      <w:pPr>
        <w:pStyle w:val="ImageCaption"/>
        <w:jc w:val="both"/>
      </w:pPr>
      <w: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43BC32D2" w14:textId="77777777" w:rsidR="00FC6D75" w:rsidRDefault="00000000" w:rsidP="00113FB1">
      <w:pPr>
        <w:pStyle w:val="Heading2"/>
        <w:jc w:val="both"/>
      </w:pPr>
      <w:bookmarkStart w:id="11" w:name="effects-of-training"/>
      <w:bookmarkEnd w:id="10"/>
      <w:r>
        <w:t>Effects of training</w:t>
      </w:r>
    </w:p>
    <w:p w14:paraId="25F66F78" w14:textId="77777777" w:rsidR="00FC6D75" w:rsidRDefault="00000000" w:rsidP="00113FB1">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Pr>
          <w:b/>
          <w:bCs/>
        </w:rPr>
        <w:t>Figure</w:t>
      </w:r>
      <w:r>
        <w:t xml:space="preserve"> @ref(fig:PCA1)), the only two group comparisons that are </w:t>
      </w:r>
      <w:r>
        <w:rPr>
          <w:b/>
          <w:bCs/>
        </w:rPr>
        <w:t>not</w:t>
      </w:r>
      <w:r>
        <w:t xml:space="preserve">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0.649</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Pr>
          <w:b/>
          <w:bCs/>
        </w:rPr>
        <w:t>Figure</w:t>
      </w:r>
      <w:r>
        <w:t xml:space="preserve"> @ref(fig:PCA2)),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0.818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
          <w:bCs/>
        </w:rPr>
        <w:t>Figure</w:t>
      </w:r>
      <w:r>
        <w:t xml:space="preserve"> @ref(fig:weight))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14:paraId="7A1F0583" w14:textId="77777777" w:rsidR="00FC6D75" w:rsidRDefault="00000000" w:rsidP="00113FB1">
      <w:pPr>
        <w:pStyle w:val="CaptionedFigure"/>
        <w:jc w:val="both"/>
      </w:pPr>
      <w:r>
        <w:rPr>
          <w:noProof/>
        </w:rPr>
        <w:lastRenderedPageBreak/>
        <w:drawing>
          <wp:inline distT="0" distB="0" distL="0" distR="0" wp14:anchorId="3990CFFD" wp14:editId="0387E4FF">
            <wp:extent cx="5943600" cy="2971800"/>
            <wp:effectExtent l="0" t="0" r="0" b="0"/>
            <wp:docPr id="56"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6.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13237844" w14:textId="77777777" w:rsidR="00FC6D75" w:rsidRDefault="00000000" w:rsidP="00113FB1">
      <w:pPr>
        <w:pStyle w:val="ImageCaption"/>
        <w:jc w:val="both"/>
      </w:pPr>
      <w:r>
        <w:t>A between-group comparison of PC1 values.</w:t>
      </w:r>
    </w:p>
    <w:p w14:paraId="52C97DFA" w14:textId="77777777" w:rsidR="00FC6D75" w:rsidRDefault="00000000" w:rsidP="00113FB1">
      <w:pPr>
        <w:pStyle w:val="CaptionedFigure"/>
        <w:jc w:val="both"/>
      </w:pPr>
      <w:r>
        <w:rPr>
          <w:noProof/>
        </w:rPr>
        <w:drawing>
          <wp:inline distT="0" distB="0" distL="0" distR="0" wp14:anchorId="0F68B413" wp14:editId="3ED10189">
            <wp:extent cx="5943600" cy="2971800"/>
            <wp:effectExtent l="0" t="0" r="0" b="0"/>
            <wp:docPr id="59"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7.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14:paraId="16F2BF48" w14:textId="77777777" w:rsidR="00FC6D75" w:rsidRDefault="00000000" w:rsidP="00113FB1">
      <w:pPr>
        <w:pStyle w:val="ImageCaption"/>
        <w:jc w:val="both"/>
      </w:pPr>
      <w:r>
        <w:t>A between-group comparison of PC2 values.</w:t>
      </w:r>
    </w:p>
    <w:p w14:paraId="79A0F05D" w14:textId="77777777" w:rsidR="00FC6D75" w:rsidRDefault="00000000" w:rsidP="00113FB1">
      <w:pPr>
        <w:pStyle w:val="CaptionedFigure"/>
        <w:jc w:val="both"/>
      </w:pPr>
      <w:r>
        <w:rPr>
          <w:noProof/>
        </w:rPr>
        <w:lastRenderedPageBreak/>
        <w:drawing>
          <wp:inline distT="0" distB="0" distL="0" distR="0" wp14:anchorId="7334CD4B" wp14:editId="4BB49EFF">
            <wp:extent cx="5943600" cy="2971800"/>
            <wp:effectExtent l="0" t="0" r="0" b="0"/>
            <wp:docPr id="62"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3" name="Picture" descr="C:/FilesVC/Boxgrove-Exp/figure/Fig8.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2E321D5E" w14:textId="77777777" w:rsidR="00FC6D75" w:rsidRDefault="00000000" w:rsidP="00113FB1">
      <w:pPr>
        <w:pStyle w:val="ImageCaption"/>
        <w:jc w:val="both"/>
      </w:pPr>
      <w:r>
        <w:t>A comparison of the delta weight between the pre-training, early training, late training, and the expert group.</w:t>
      </w:r>
    </w:p>
    <w:p w14:paraId="539D631C" w14:textId="77777777" w:rsidR="00FC6D75" w:rsidRDefault="00000000" w:rsidP="00113FB1">
      <w:pPr>
        <w:pStyle w:val="Heading1"/>
        <w:jc w:val="both"/>
      </w:pPr>
      <w:bookmarkStart w:id="12" w:name="discussion"/>
      <w:bookmarkEnd w:id="9"/>
      <w:bookmarkEnd w:id="11"/>
      <w:r>
        <w:t>Discussion</w:t>
      </w:r>
    </w:p>
    <w:p w14:paraId="57EFF958" w14:textId="77777777" w:rsidR="00FC6D75" w:rsidRDefault="00000000" w:rsidP="00113FB1">
      <w:pPr>
        <w:pStyle w:val="FirstParagraph"/>
        <w:jc w:val="both"/>
      </w:pPr>
      <w:r>
        <w:t>Our study suggests that both skill level and mental template have a relatively clear manifestation in different aspects of handaxe morphology, where the former is related to cross-sectional thinning (PC1) while the latter relates to handaxe elongation and pointedness (PC2). Moreover, we also evaluated the differential effects of training using the data from a 90-hour long knapping skill acquisition experiment and confirmed the previous finding (</w:t>
      </w:r>
      <w:hyperlink w:anchor="ref-pargeter2019">
        <w:r>
          <w:rPr>
            <w:rStyle w:val="Hyperlink"/>
          </w:rPr>
          <w:t>2019</w:t>
        </w:r>
      </w:hyperlink>
      <w:r>
        <w:t>) that reaching the skill level of modern experts requires more training time than was permitted in this extensive and long-running training program.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the results of PCA suggested that PC1 (cross-sectional thinning) is a robust indicator of skill level as it is a common feature shared by modern expert knapper and Boxgrove knappers. 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indirect archaeological evidence of flake attributes from Boxgrove (</w:t>
      </w:r>
      <w:hyperlink w:anchor="ref-roberts1998">
        <w:r>
          <w:rPr>
            <w:rStyle w:val="Hyperlink"/>
          </w:rPr>
          <w:t>Roberts &amp; Parfitt, 1998</w:t>
        </w:r>
      </w:hyperlink>
      <w:r>
        <w:t xml:space="preserve">: 384-394; </w:t>
      </w:r>
      <w:hyperlink w:anchor="ref-roberts2009">
        <w:r>
          <w:rPr>
            <w:rStyle w:val="Hyperlink"/>
          </w:rPr>
          <w:t>Roberts &amp; Pope, 2009</w:t>
        </w:r>
      </w:hyperlink>
      <w:r>
        <w:t>), although the validity of differentiating purcussor types (hard hammerstone, soft hammerstone, and antler hammer) based on flake attributes has been challenged by other experimental studies(</w:t>
      </w:r>
      <w:hyperlink w:anchor="ref-driscoll2014">
        <w:r>
          <w:rPr>
            <w:rStyle w:val="Hyperlink"/>
          </w:rPr>
          <w:t>Driscoll &amp; García-Rojas, 2014</w:t>
        </w:r>
      </w:hyperlink>
      <w:r>
        <w:t xml:space="preserve">). </w:t>
      </w:r>
      <w:r>
        <w:lastRenderedPageBreak/>
        <w:t>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2C3D8C72" w14:textId="77777777" w:rsidR="00FC6D75" w:rsidRDefault="00000000" w:rsidP="00113FB1">
      <w:pPr>
        <w:pStyle w:val="BodyText"/>
        <w:jc w:val="both"/>
      </w:pPr>
      <w:r>
        <w:t>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 (</w:t>
      </w:r>
      <w:hyperlink w:anchor="ref-shipton2020">
        <w:r>
          <w:rPr>
            <w:rStyle w:val="Hyperlink"/>
          </w:rPr>
          <w:t>2020</w:t>
        </w:r>
      </w:hyperlink>
      <w:r>
        <w:t>) as well as Garcia-Medrano et al. (</w:t>
      </w:r>
      <w:hyperlink w:anchor="ref-garcía-medrano2019">
        <w:r>
          <w:rPr>
            <w:rStyle w:val="Hyperlink"/>
          </w:rPr>
          <w:t>2019</w:t>
        </w:r>
      </w:hyperlink>
      <w:r>
        <w:t>).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 “representative teardrop Late Acheulean handaxe.” In general, this pattern may reflect a divergence of group-level aesthetic choices as expected under the theoretical framework of the communities of practice (</w:t>
      </w:r>
      <w:hyperlink w:anchor="ref-wenger1998">
        <w:r>
          <w:rPr>
            <w:rStyle w:val="Hyperlink"/>
          </w:rPr>
          <w:t>Wenger, 1998</w:t>
        </w:r>
      </w:hyperlink>
      <w:r>
        <w:t>), which could potentially provide an mechanistic explanation to some macro-level cultural phenomena such as regionalization (</w:t>
      </w:r>
      <w:hyperlink w:anchor="ref-ashton2021">
        <w:r>
          <w:rPr>
            <w:rStyle w:val="Hyperlink"/>
          </w:rPr>
          <w:t>Ashton &amp; Davis, 2021</w:t>
        </w:r>
      </w:hyperlink>
      <w:r>
        <w:t xml:space="preserve">; </w:t>
      </w:r>
      <w:hyperlink w:anchor="ref-davis2019">
        <w:r>
          <w:rPr>
            <w:rStyle w:val="Hyperlink"/>
          </w:rPr>
          <w:t>Davis &amp; Ashton, 2019</w:t>
        </w:r>
      </w:hyperlink>
      <w:r>
        <w:t xml:space="preserve">; </w:t>
      </w:r>
      <w:hyperlink w:anchor="ref-garcía-medrano2022">
        <w:r>
          <w:rPr>
            <w:rStyle w:val="Hyperlink"/>
          </w:rPr>
          <w:t>García-Medrano et al., 2022</w:t>
        </w:r>
      </w:hyperlink>
      <w:r>
        <w:t xml:space="preserve">; </w:t>
      </w:r>
      <w:hyperlink w:anchor="ref-shipton2020">
        <w:r>
          <w:rPr>
            <w:rStyle w:val="Hyperlink"/>
          </w:rPr>
          <w:t>Shipton &amp; White, 2020</w:t>
        </w:r>
      </w:hyperlink>
      <w:r>
        <w:t>).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14:paraId="5041C555" w14:textId="77777777" w:rsidR="00FC6D75" w:rsidRDefault="00000000" w:rsidP="00113FB1">
      <w:pPr>
        <w:pStyle w:val="BodyText"/>
        <w:jc w:val="both"/>
      </w:pPr>
      <w:r>
        <w:t>The negative correlation between the PC1 and PC2 values revealed a hidden structural constraint regarding the relationship between cross-sectional thinning and the imposed form. Our results (</w:t>
      </w:r>
      <w:r>
        <w:rPr>
          <w:b/>
          <w:bCs/>
        </w:rPr>
        <w:t>Figure</w:t>
      </w:r>
      <w:r>
        <w:t xml:space="preserve"> @ref(fig:PCcorrelation)) suggested thinner handaxes (low PC1 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one half way across the surface while not breaking the handaxe into half (</w:t>
      </w:r>
      <w:hyperlink w:anchor="ref-callahan1979">
        <w:r>
          <w:rPr>
            <w:rStyle w:val="Hyperlink"/>
          </w:rPr>
          <w:t>1979</w:t>
        </w:r>
      </w:hyperlink>
      <w:r>
        <w:t xml:space="preserve">: 90). As a corollary, we speculate that it would be easier to perform thinning if the plan shape of a handaxe is narrower and more pointed, echoing the high technological difficulty of making </w:t>
      </w:r>
      <w:r>
        <w:lastRenderedPageBreak/>
        <w:t>large yet thin bifacial points as perceived by American hobbyist flintknappers (</w:t>
      </w:r>
      <w:hyperlink w:anchor="ref-whittaker2004">
        <w:r>
          <w:rPr>
            <w:rStyle w:val="Hyperlink"/>
          </w:rPr>
          <w:t>Whittaker, 2004</w:t>
        </w:r>
      </w:hyperlink>
      <w:r>
        <w:t>: 180-182).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14:paraId="063C3881" w14:textId="77777777" w:rsidR="00FC6D75" w:rsidRDefault="00000000" w:rsidP="00113FB1">
      <w:pPr>
        <w:pStyle w:val="BodyText"/>
        <w:jc w:val="both"/>
      </w:pPr>
      <w:r>
        <w:t>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 (</w:t>
      </w:r>
      <w:hyperlink w:anchor="ref-pargeter2019">
        <w:r>
          <w:rPr>
            <w:rStyle w:val="Hyperlink"/>
          </w:rPr>
          <w:t>2019</w:t>
        </w:r>
      </w:hyperlink>
      <w:r>
        <w:t xml:space="preserve">) 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 (See Table 2 of </w:t>
      </w:r>
      <w:hyperlink w:anchor="ref-pargeter2019">
        <w:r>
          <w:rPr>
            <w:rStyle w:val="Hyperlink"/>
          </w:rPr>
          <w:t>2019</w:t>
        </w:r>
      </w:hyperlink>
      <w:r>
        <w:t xml:space="preserve"> for more details).</w:t>
      </w:r>
    </w:p>
    <w:p w14:paraId="4F50728C" w14:textId="77777777" w:rsidR="00FC6D75" w:rsidRDefault="00000000" w:rsidP="00113FB1">
      <w:pPr>
        <w:pStyle w:val="BodyText"/>
        <w:jc w:val="both"/>
      </w:pPr>
      <w:r>
        <w:t>Moreover, this follow-up project further adds the samples produced by the Late Acheulean toolmaker as a new benchmark to deepen our understanding of this issue. As previously shown in Key’s (</w:t>
      </w:r>
      <w:hyperlink w:anchor="ref-keyHandaxeShapeVariation2019">
        <w:r>
          <w:rPr>
            <w:rStyle w:val="Hyperlink"/>
          </w:rPr>
          <w:t>2019</w:t>
        </w:r>
      </w:hyperlink>
      <w:r>
        <w:t>) previous finding regarding Boxgrove, it is noteworthy how constrained the range of Boxgrove assemblage morphological variation is as measured by both PC1 and PC2 even when compared with the modern expert group (</w:t>
      </w:r>
      <w:r>
        <w:rPr>
          <w:b/>
          <w:bCs/>
        </w:rPr>
        <w:t>Figure</w:t>
      </w:r>
      <w:r>
        <w:t xml:space="preserve"> @ref(fig:GeneralPCA1)),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and/or 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2014b</w:t>
        </w:r>
      </w:hyperlink>
      <w:r>
        <w:t>).</w:t>
      </w:r>
    </w:p>
    <w:p w14:paraId="5C473BDA" w14:textId="77777777" w:rsidR="00FC6D75" w:rsidRDefault="00000000" w:rsidP="00113FB1">
      <w:pPr>
        <w:pStyle w:val="BodyText"/>
        <w:jc w:val="both"/>
      </w:pPr>
      <w:r>
        <w:t>The pre-training group is unexpectedly similar to the Boxgrove group in PC2 because these novices lack the ability to effectively reduce the nodules, which are typically flat pre-prepared cortical flakes, to the desired form (</w:t>
      </w:r>
      <w:r>
        <w:rPr>
          <w:b/>
          <w:bCs/>
        </w:rPr>
        <w:t>Figure</w:t>
      </w:r>
      <w:r>
        <w:t xml:space="preserve"> @ref(fig:comparison)). If the given nodules already possess an oval morphology like those presented in the Boxgrove assemblage, it is likely the form of end products knapped by novices in the pre-training group </w:t>
      </w:r>
      <w:r>
        <w:lastRenderedPageBreak/>
        <w:t>will remain roughly unchanged (</w:t>
      </w:r>
      <w:hyperlink w:anchor="ref-winton2005">
        <w:r>
          <w:rPr>
            <w:rStyle w:val="Hyperlink"/>
          </w:rPr>
          <w:t>Winton, 2005</w:t>
        </w:r>
      </w:hyperlink>
      <w:r>
        <w:t>: 113). This explanation is also supported by the comparison of average delta weight, defined as the difference between the weight of handaxe and the weight of nodule, among four groups, where the pre-training group displays the lowest value (</w:t>
      </w:r>
      <w:r>
        <w:rPr>
          <w:b/>
          <w:bCs/>
        </w:rPr>
        <w:t>Figure</w:t>
      </w:r>
      <w:r>
        <w:t xml:space="preserve"> @ref(fig:weight)).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2014a</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339, 360). These 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33CFEF9D" w14:textId="77777777" w:rsidR="00FC6D75" w:rsidRDefault="00000000" w:rsidP="00113FB1">
      <w:pPr>
        <w:pStyle w:val="CaptionedFigure"/>
        <w:jc w:val="both"/>
      </w:pPr>
      <w:r>
        <w:rPr>
          <w:noProof/>
        </w:rPr>
        <w:drawing>
          <wp:inline distT="0" distB="0" distL="0" distR="0" wp14:anchorId="6B447413" wp14:editId="3C25FC22">
            <wp:extent cx="5943600" cy="4073842"/>
            <wp:effectExtent l="0" t="0" r="0" b="0"/>
            <wp:docPr id="68"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9" name="Picture" descr="C:/FilesVC/Boxgrove-Exp/figure/Fig9.jpg"/>
                    <pic:cNvPicPr>
                      <a:picLocks noChangeAspect="1" noChangeArrowheads="1"/>
                    </pic:cNvPicPr>
                  </pic:nvPicPr>
                  <pic:blipFill>
                    <a:blip r:embed="rId18"/>
                    <a:stretch>
                      <a:fillRect/>
                    </a:stretch>
                  </pic:blipFill>
                  <pic:spPr bwMode="auto">
                    <a:xfrm>
                      <a:off x="0" y="0"/>
                      <a:ext cx="5943600" cy="4073842"/>
                    </a:xfrm>
                    <a:prstGeom prst="rect">
                      <a:avLst/>
                    </a:prstGeom>
                    <a:noFill/>
                    <a:ln w="9525">
                      <a:noFill/>
                      <a:headEnd/>
                      <a:tailEnd/>
                    </a:ln>
                  </pic:spPr>
                </pic:pic>
              </a:graphicData>
            </a:graphic>
          </wp:inline>
        </w:drawing>
      </w:r>
    </w:p>
    <w:p w14:paraId="4B283692" w14:textId="77777777" w:rsidR="00FC6D75" w:rsidRDefault="00000000" w:rsidP="00113FB1">
      <w:pPr>
        <w:pStyle w:val="ImageCaption"/>
        <w:jc w:val="both"/>
      </w:pPr>
      <w:r>
        <w:t>Core 63 before (left) and after knapping(right), showing the minimal morphological change during the knapping process.</w:t>
      </w:r>
    </w:p>
    <w:p w14:paraId="60C26564" w14:textId="77777777" w:rsidR="00FC6D75" w:rsidRDefault="00000000" w:rsidP="00113FB1">
      <w:pPr>
        <w:pStyle w:val="BodyText"/>
        <w:jc w:val="both"/>
      </w:pPr>
      <w:r>
        <w:lastRenderedPageBreak/>
        <w:t xml:space="preserve">Although we are not the first research team to use secondary archaeological data (e.g., </w:t>
      </w:r>
      <w:hyperlink w:anchor="ref-keyHandaxeShapeVariation2019">
        <w:r>
          <w:rPr>
            <w:rStyle w:val="Hyperlink"/>
          </w:rPr>
          <w:t>Key, 2019</w:t>
        </w:r>
      </w:hyperlink>
      <w:r>
        <w:t>),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 (</w:t>
      </w:r>
      <w:hyperlink w:anchor="ref-faniel2018">
        <w:r>
          <w:rPr>
            <w:rStyle w:val="Hyperlink"/>
          </w:rPr>
          <w:t>Faniel et al., 2018</w:t>
        </w:r>
      </w:hyperlink>
      <w:r>
        <w:t xml:space="preserve">; </w:t>
      </w:r>
      <w:hyperlink w:anchor="ref-huggett2018">
        <w:r>
          <w:rPr>
            <w:rStyle w:val="Hyperlink"/>
          </w:rPr>
          <w:t>Huggett, 2018</w:t>
        </w:r>
      </w:hyperlink>
      <w:r>
        <w:t xml:space="preserve">; </w:t>
      </w:r>
      <w:hyperlink w:anchor="ref-moody2021">
        <w:r>
          <w:rPr>
            <w:rStyle w:val="Hyperlink"/>
          </w:rPr>
          <w:t>Moody et al., 2021</w:t>
        </w:r>
      </w:hyperlink>
      <w:r>
        <w:t>). Among many reasons preventing archaeologists from reusing published and digitized data (</w:t>
      </w:r>
      <w:hyperlink w:anchor="ref-sobotkova2018">
        <w:r>
          <w:rPr>
            <w:rStyle w:val="Hyperlink"/>
          </w:rPr>
          <w:t>Sobotkova, 2018</w:t>
        </w:r>
      </w:hyperlink>
      <w:r>
        <w:t>), the lack of a standardized practice of and motivation for data sharing is a prominent one (</w:t>
      </w:r>
      <w:hyperlink w:anchor="ref-marwick2018">
        <w:r>
          <w:rPr>
            <w:rStyle w:val="Hyperlink"/>
          </w:rPr>
          <w:t>Marwick &amp; Birch, 2018</w:t>
        </w:r>
      </w:hyperlink>
      <w:r>
        <w:t>).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 (</w:t>
      </w:r>
      <w:hyperlink w:anchor="ref-balandier2022">
        <w:r>
          <w:rPr>
            <w:rStyle w:val="Hyperlink"/>
          </w:rPr>
          <w:t>Balandier et al., 2022</w:t>
        </w:r>
      </w:hyperlink>
      <w:r>
        <w:t xml:space="preserve">; </w:t>
      </w:r>
      <w:hyperlink w:anchor="ref-ogundiran2021">
        <w:r>
          <w:rPr>
            <w:rStyle w:val="Hyperlink"/>
          </w:rPr>
          <w:t>Ogundiran, 2021</w:t>
        </w:r>
      </w:hyperlink>
      <w:r>
        <w:t>).</w:t>
      </w:r>
    </w:p>
    <w:p w14:paraId="1CB88BD1" w14:textId="77777777" w:rsidR="00FC6D75" w:rsidRDefault="00000000" w:rsidP="00113FB1">
      <w:pPr>
        <w:pStyle w:val="Heading1"/>
        <w:jc w:val="both"/>
      </w:pPr>
      <w:bookmarkStart w:id="13" w:name="conclusions"/>
      <w:bookmarkEnd w:id="12"/>
      <w:r>
        <w:t>Conclusions</w:t>
      </w:r>
    </w:p>
    <w:p w14:paraId="6ED88646" w14:textId="77777777" w:rsidR="00FC6D75" w:rsidRDefault="00000000" w:rsidP="00113FB1">
      <w:pPr>
        <w:pStyle w:val="FirstParagraph"/>
        <w:jc w:val="both"/>
      </w:pPr>
      <w:r>
        <w:t>Regarding the two research questions we proposed in the beginning, our case study suggested that 1) we can delineate the effects of skill level and mental template through the multivariate analysis of morphometric data, where the former is associated with cross-sectional thinning while the latter is reflected in elongation and pointedness; 2) On average training has an immediate effect of making novices to better understand the shared design targets, but 90 hours of training is still not enough for novice to reach the level of expertise as reflected in modern experienced knappers, let alone the Boxgrove tool makers, which supports our differential cultural reproduction hypothesis.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 (</w:t>
      </w:r>
      <w:hyperlink w:anchor="ref-schillingerConsideringRoleTime2014">
        <w:r>
          <w:rPr>
            <w:rStyle w:val="Hyperlink"/>
          </w:rPr>
          <w:t>Schillinger et al., 2014b</w:t>
        </w:r>
      </w:hyperlink>
      <w:r>
        <w:t xml:space="preserve">, </w:t>
      </w:r>
      <w:hyperlink w:anchor="ref-schillinger2017">
        <w:r>
          <w:rPr>
            <w:rStyle w:val="Hyperlink"/>
          </w:rPr>
          <w:t>2017</w:t>
        </w:r>
      </w:hyperlink>
      <w:r>
        <w:t xml:space="preserve">, </w:t>
      </w:r>
      <w:hyperlink w:anchor="ref-schillinger2015">
        <w:r>
          <w:rPr>
            <w:rStyle w:val="Hyperlink"/>
          </w:rPr>
          <w:t>2015</w:t>
        </w:r>
      </w:hyperlink>
      <w:r>
        <w:t>).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 (</w:t>
      </w:r>
      <w:hyperlink w:anchor="ref-liu2022">
        <w:r>
          <w:rPr>
            <w:rStyle w:val="Hyperlink"/>
          </w:rPr>
          <w:t>Liu &amp; Stout, 2022</w:t>
        </w:r>
      </w:hyperlink>
      <w:r>
        <w:t xml:space="preserve">). In the future, more robust </w:t>
      </w:r>
      <w:r>
        <w:lastRenderedPageBreak/>
        <w:t>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xml:space="preserve">; </w:t>
      </w:r>
      <w:hyperlink w:anchor="ref-lew-levy2020">
        <w:r>
          <w:rPr>
            <w:rStyle w:val="Hyperlink"/>
          </w:rPr>
          <w:t>Lew-Levy et al., 2020</w:t>
        </w:r>
      </w:hyperlink>
      <w:r>
        <w:t xml:space="preserve">; </w:t>
      </w:r>
      <w:hyperlink w:anchor="ref-nowell2021">
        <w:r>
          <w:rPr>
            <w:rStyle w:val="Hyperlink"/>
          </w:rPr>
          <w:t>Nowell, 2021</w:t>
        </w:r>
      </w:hyperlink>
      <w:r>
        <w:t>) as well as their implications for the biological and cultural evolution of the hominin lineages.</w:t>
      </w:r>
    </w:p>
    <w:p w14:paraId="6CDC5A78" w14:textId="64DC50D2" w:rsidR="00113FB1" w:rsidRDefault="00113FB1" w:rsidP="00113FB1">
      <w:pPr>
        <w:pStyle w:val="Heading1"/>
        <w:jc w:val="both"/>
      </w:pPr>
      <w:bookmarkStart w:id="14" w:name="credit-authorship-contribution-statement"/>
      <w:bookmarkEnd w:id="13"/>
      <w:r>
        <w:t>Table</w:t>
      </w:r>
    </w:p>
    <w:p w14:paraId="581E2B27" w14:textId="51372517" w:rsidR="00113FB1" w:rsidRDefault="00113FB1" w:rsidP="00113FB1">
      <w:pPr>
        <w:pStyle w:val="Heading1"/>
        <w:jc w:val="both"/>
      </w:pPr>
      <w:r>
        <w:rPr>
          <w:noProof/>
        </w:rPr>
        <w:drawing>
          <wp:inline distT="0" distB="0" distL="0" distR="0" wp14:anchorId="4B96CA88" wp14:editId="6D81BE69">
            <wp:extent cx="5943600" cy="474218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5943600" cy="4742180"/>
                    </a:xfrm>
                    <a:prstGeom prst="rect">
                      <a:avLst/>
                    </a:prstGeom>
                  </pic:spPr>
                </pic:pic>
              </a:graphicData>
            </a:graphic>
          </wp:inline>
        </w:drawing>
      </w:r>
    </w:p>
    <w:p w14:paraId="03A411DC" w14:textId="5C8792F8" w:rsidR="00FC6D75" w:rsidRDefault="00000000" w:rsidP="00113FB1">
      <w:pPr>
        <w:pStyle w:val="Heading1"/>
        <w:jc w:val="both"/>
      </w:pPr>
      <w:r>
        <w:t>CRediT authorship contribution statement</w:t>
      </w:r>
    </w:p>
    <w:p w14:paraId="484DE416" w14:textId="77777777" w:rsidR="00FC6D75" w:rsidRDefault="00000000" w:rsidP="00113FB1">
      <w:pPr>
        <w:pStyle w:val="FirstParagraph"/>
        <w:jc w:val="both"/>
      </w:pPr>
      <w:r>
        <w:rPr>
          <w:b/>
          <w:bCs/>
        </w:rPr>
        <w:t>Cheng Liu</w:t>
      </w:r>
      <w:r>
        <w:t xml:space="preserve">: Conceptualization,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6F33FE8D" w14:textId="77777777" w:rsidR="00FC6D75" w:rsidRDefault="00000000" w:rsidP="00113FB1">
      <w:pPr>
        <w:pStyle w:val="Heading1"/>
        <w:jc w:val="both"/>
      </w:pPr>
      <w:bookmarkStart w:id="15" w:name="declaration-of-competing-interest"/>
      <w:bookmarkEnd w:id="14"/>
      <w:r>
        <w:lastRenderedPageBreak/>
        <w:t>Declaration of competing interest</w:t>
      </w:r>
    </w:p>
    <w:p w14:paraId="38B949E7" w14:textId="77777777" w:rsidR="00FC6D75" w:rsidRDefault="00000000" w:rsidP="00113FB1">
      <w:pPr>
        <w:pStyle w:val="FirstParagraph"/>
        <w:jc w:val="both"/>
      </w:pPr>
      <w:r>
        <w:t>The authors declare that they have no known competing financial interests or personal relationships that could have appeared to influence the work reported in this paper.</w:t>
      </w:r>
    </w:p>
    <w:p w14:paraId="3755054D" w14:textId="77777777" w:rsidR="00FC6D75" w:rsidRDefault="00000000" w:rsidP="00113FB1">
      <w:pPr>
        <w:pStyle w:val="Heading1"/>
        <w:jc w:val="both"/>
      </w:pPr>
      <w:bookmarkStart w:id="16" w:name="acknowledgements"/>
      <w:bookmarkEnd w:id="15"/>
      <w:r>
        <w:t>Acknowledgements</w:t>
      </w:r>
    </w:p>
    <w:p w14:paraId="53B92168" w14:textId="77777777" w:rsidR="00FC6D75" w:rsidRDefault="00000000" w:rsidP="00113FB1">
      <w:pPr>
        <w:pStyle w:val="FirstParagraph"/>
        <w:jc w:val="both"/>
      </w:pPr>
      <w:r>
        <w:t>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004362BC" w14:textId="77777777" w:rsidR="00FC6D75" w:rsidRDefault="00000000" w:rsidP="00113FB1">
      <w:pPr>
        <w:pStyle w:val="Heading1"/>
        <w:jc w:val="both"/>
      </w:pPr>
      <w:bookmarkStart w:id="17" w:name="references"/>
      <w:bookmarkEnd w:id="16"/>
      <w:r>
        <w:t>References</w:t>
      </w:r>
    </w:p>
    <w:p w14:paraId="342F7281" w14:textId="77777777" w:rsidR="00FC6D75" w:rsidRDefault="00000000" w:rsidP="00113FB1">
      <w:pPr>
        <w:pStyle w:val="Bibliography"/>
        <w:jc w:val="both"/>
      </w:pPr>
      <w:bookmarkStart w:id="18" w:name="ref-ashton2021"/>
      <w:bookmarkStart w:id="19" w:name="refs"/>
      <w:r>
        <w:t xml:space="preserve">Ashton, N., &amp; Davis, R. (2021). Cultural mosaics, social structure, and identity: The Acheulean threshold in Europe. </w:t>
      </w:r>
      <w:r>
        <w:rPr>
          <w:i/>
          <w:iCs/>
        </w:rPr>
        <w:t>Journal of Human Evolution</w:t>
      </w:r>
      <w:r>
        <w:t xml:space="preserve">, </w:t>
      </w:r>
      <w:r>
        <w:rPr>
          <w:i/>
          <w:iCs/>
        </w:rPr>
        <w:t>156</w:t>
      </w:r>
      <w:r>
        <w:t xml:space="preserve">, 103011. </w:t>
      </w:r>
      <w:hyperlink r:id="rId20">
        <w:r>
          <w:rPr>
            <w:rStyle w:val="Hyperlink"/>
          </w:rPr>
          <w:t>https://doi.org/10.1016/j.jhevol.2021.103011</w:t>
        </w:r>
      </w:hyperlink>
    </w:p>
    <w:p w14:paraId="1B489F26" w14:textId="77777777" w:rsidR="00FC6D75" w:rsidRDefault="00000000" w:rsidP="00113FB1">
      <w:pPr>
        <w:pStyle w:val="Bibliography"/>
        <w:jc w:val="both"/>
      </w:pPr>
      <w:bookmarkStart w:id="20" w:name="ref-balandier2022"/>
      <w:bookmarkEnd w:id="18"/>
      <w:r>
        <w:t xml:space="preserve">Balandier, C., Cipin, I., Hartenberger, B., &amp; Islam, M. (2022). Archaeology in a pandemic: Four stories. </w:t>
      </w:r>
      <w:r>
        <w:rPr>
          <w:i/>
          <w:iCs/>
        </w:rPr>
        <w:t>Near Eastern Archaeology</w:t>
      </w:r>
      <w:r>
        <w:t xml:space="preserve">, </w:t>
      </w:r>
      <w:r>
        <w:rPr>
          <w:i/>
          <w:iCs/>
        </w:rPr>
        <w:t>85</w:t>
      </w:r>
      <w:r>
        <w:t xml:space="preserve">(1), 66–73. </w:t>
      </w:r>
      <w:hyperlink r:id="rId21">
        <w:r>
          <w:rPr>
            <w:rStyle w:val="Hyperlink"/>
          </w:rPr>
          <w:t>https://doi.org/10.1086/718201</w:t>
        </w:r>
      </w:hyperlink>
    </w:p>
    <w:p w14:paraId="4C0E4654" w14:textId="77777777" w:rsidR="00FC6D75" w:rsidRDefault="00000000" w:rsidP="00113FB1">
      <w:pPr>
        <w:pStyle w:val="Bibliography"/>
        <w:jc w:val="both"/>
      </w:pPr>
      <w:bookmarkStart w:id="21" w:name="ref-bamforth2008"/>
      <w:bookmarkEnd w:id="20"/>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2">
        <w:r>
          <w:rPr>
            <w:rStyle w:val="Hyperlink"/>
          </w:rPr>
          <w:t>https://www.jstor.org/stable/40345992</w:t>
        </w:r>
      </w:hyperlink>
    </w:p>
    <w:p w14:paraId="5AACCFF8" w14:textId="77777777" w:rsidR="00FC6D75" w:rsidRDefault="00000000" w:rsidP="00113FB1">
      <w:pPr>
        <w:pStyle w:val="Bibliography"/>
        <w:jc w:val="both"/>
      </w:pPr>
      <w:bookmarkStart w:id="22" w:name="ref-bayani2021"/>
      <w:bookmarkEnd w:id="21"/>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3">
        <w:r>
          <w:rPr>
            <w:rStyle w:val="Hyperlink"/>
          </w:rPr>
          <w:t>https://doi.org/10.1038/s42003-021-02768-w</w:t>
        </w:r>
      </w:hyperlink>
    </w:p>
    <w:p w14:paraId="32B33390" w14:textId="77777777" w:rsidR="00FC6D75" w:rsidRDefault="00000000" w:rsidP="00113FB1">
      <w:pPr>
        <w:pStyle w:val="Bibliography"/>
        <w:jc w:val="both"/>
      </w:pPr>
      <w:bookmarkStart w:id="23" w:name="ref-bello2009"/>
      <w:bookmarkEnd w:id="22"/>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4">
        <w:r>
          <w:rPr>
            <w:rStyle w:val="Hyperlink"/>
          </w:rPr>
          <w:t>https://doi.org/10.1016/j.jas.2009.04.014</w:t>
        </w:r>
      </w:hyperlink>
    </w:p>
    <w:p w14:paraId="1FCDE651" w14:textId="77777777" w:rsidR="00FC6D75" w:rsidRDefault="00000000" w:rsidP="00113FB1">
      <w:pPr>
        <w:pStyle w:val="Bibliography"/>
        <w:jc w:val="both"/>
      </w:pPr>
      <w:bookmarkStart w:id="24" w:name="ref-bradley1986"/>
      <w:bookmarkEnd w:id="23"/>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39098472" w14:textId="77777777" w:rsidR="00FC6D75" w:rsidRDefault="00000000" w:rsidP="00113FB1">
      <w:pPr>
        <w:pStyle w:val="Bibliography"/>
        <w:jc w:val="both"/>
      </w:pPr>
      <w:bookmarkStart w:id="25" w:name="ref-callahan1979"/>
      <w:bookmarkEnd w:id="24"/>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5">
        <w:r>
          <w:rPr>
            <w:rStyle w:val="Hyperlink"/>
          </w:rPr>
          <w:t>https://www.jstor.org/stable/40914177</w:t>
        </w:r>
      </w:hyperlink>
    </w:p>
    <w:p w14:paraId="3D2AED25" w14:textId="77777777" w:rsidR="00FC6D75" w:rsidRDefault="00000000" w:rsidP="00113FB1">
      <w:pPr>
        <w:pStyle w:val="Bibliography"/>
        <w:jc w:val="both"/>
      </w:pPr>
      <w:bookmarkStart w:id="26" w:name="ref-caruana2022"/>
      <w:bookmarkEnd w:id="25"/>
      <w:r>
        <w:lastRenderedPageBreak/>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6">
        <w:r>
          <w:rPr>
            <w:rStyle w:val="Hyperlink"/>
          </w:rPr>
          <w:t>https://doi.org/10.1080/01977261.2021.1924452</w:t>
        </w:r>
      </w:hyperlink>
    </w:p>
    <w:p w14:paraId="32D87537" w14:textId="77777777" w:rsidR="00FC6D75" w:rsidRDefault="00000000" w:rsidP="00113FB1">
      <w:pPr>
        <w:pStyle w:val="Bibliography"/>
        <w:jc w:val="both"/>
      </w:pPr>
      <w:bookmarkStart w:id="27" w:name="ref-caruana2020"/>
      <w:bookmarkEnd w:id="26"/>
      <w:r>
        <w:t xml:space="preserve">Caruana, M. V. (2020). South African handaxes reloaded. </w:t>
      </w:r>
      <w:r>
        <w:rPr>
          <w:i/>
          <w:iCs/>
        </w:rPr>
        <w:t>Journal of Archaeological Science: Reports</w:t>
      </w:r>
      <w:r>
        <w:t xml:space="preserve">, </w:t>
      </w:r>
      <w:r>
        <w:rPr>
          <w:i/>
          <w:iCs/>
        </w:rPr>
        <w:t>34</w:t>
      </w:r>
      <w:r>
        <w:t xml:space="preserve">, 102649. </w:t>
      </w:r>
      <w:hyperlink r:id="rId27">
        <w:r>
          <w:rPr>
            <w:rStyle w:val="Hyperlink"/>
          </w:rPr>
          <w:t>https://doi.org/10.1016/j.jasrep.2020.102649</w:t>
        </w:r>
      </w:hyperlink>
    </w:p>
    <w:p w14:paraId="3515917A" w14:textId="77777777" w:rsidR="00FC6D75" w:rsidRDefault="00000000" w:rsidP="00113FB1">
      <w:pPr>
        <w:pStyle w:val="Bibliography"/>
        <w:jc w:val="both"/>
      </w:pPr>
      <w:bookmarkStart w:id="28" w:name="ref-caruana2021"/>
      <w:bookmarkEnd w:id="27"/>
      <w:r>
        <w:t xml:space="preserve">Caruana, M. V., &amp; Herries, A. I. R. (2021). Modelling production mishaps in later Acheulian handaxes from the Area 1 excavation at Amanzi Springs (Eastern Cape, South Africa) and their effects on reduction and morphology. </w:t>
      </w:r>
      <w:r>
        <w:rPr>
          <w:i/>
          <w:iCs/>
        </w:rPr>
        <w:t>Journal of Archaeological Science: Reports</w:t>
      </w:r>
      <w:r>
        <w:t xml:space="preserve">, </w:t>
      </w:r>
      <w:r>
        <w:rPr>
          <w:i/>
          <w:iCs/>
        </w:rPr>
        <w:t>39</w:t>
      </w:r>
      <w:r>
        <w:t xml:space="preserve">, 103121. </w:t>
      </w:r>
      <w:hyperlink r:id="rId28">
        <w:r>
          <w:rPr>
            <w:rStyle w:val="Hyperlink"/>
          </w:rPr>
          <w:t>https://doi.org/10.1016/j.jasrep.2021.103121</w:t>
        </w:r>
      </w:hyperlink>
    </w:p>
    <w:p w14:paraId="177ACEA3" w14:textId="77777777" w:rsidR="00FC6D75" w:rsidRDefault="00000000" w:rsidP="00113FB1">
      <w:pPr>
        <w:pStyle w:val="Bibliography"/>
        <w:jc w:val="both"/>
      </w:pPr>
      <w:bookmarkStart w:id="29" w:name="ref-charbonneau2022"/>
      <w:bookmarkEnd w:id="28"/>
      <w:r>
        <w:t xml:space="preserve">Charbonneau, M., &amp; Strachan, J. W. A. (2022). From Copying to Coordination: An Alternative Framework for Understanding Cultural Learning Mechanisms. </w:t>
      </w:r>
      <w:r>
        <w:rPr>
          <w:i/>
          <w:iCs/>
        </w:rPr>
        <w:t>Journal of Cognition and Culture</w:t>
      </w:r>
      <w:r>
        <w:t xml:space="preserve">, </w:t>
      </w:r>
      <w:r>
        <w:rPr>
          <w:i/>
          <w:iCs/>
        </w:rPr>
        <w:t>22</w:t>
      </w:r>
      <w:r>
        <w:t xml:space="preserve">(5), 451–466. </w:t>
      </w:r>
      <w:hyperlink r:id="rId29">
        <w:r>
          <w:rPr>
            <w:rStyle w:val="Hyperlink"/>
          </w:rPr>
          <w:t>https://doi.org/10.1163/15685373-12340145</w:t>
        </w:r>
      </w:hyperlink>
    </w:p>
    <w:p w14:paraId="5D560A78" w14:textId="77777777" w:rsidR="00FC6D75" w:rsidRDefault="00000000" w:rsidP="00113FB1">
      <w:pPr>
        <w:pStyle w:val="Bibliography"/>
        <w:jc w:val="both"/>
      </w:pPr>
      <w:bookmarkStart w:id="30" w:name="ref-clark2001"/>
      <w:bookmarkEnd w:id="29"/>
      <w:r>
        <w:t xml:space="preserve">Clark, J. D. (2001). </w:t>
      </w:r>
      <w:r>
        <w:rPr>
          <w:i/>
          <w:iCs/>
        </w:rPr>
        <w:t>Variability in primary and secondary technologies of the later acheulian in africa</w:t>
      </w:r>
      <w:r>
        <w:t xml:space="preserve"> (S. Milliken &amp; J. Cook, Eds.; p. 118). Oxbow Books.</w:t>
      </w:r>
    </w:p>
    <w:p w14:paraId="48DC93D5" w14:textId="77777777" w:rsidR="00FC6D75" w:rsidRDefault="00000000" w:rsidP="00113FB1">
      <w:pPr>
        <w:pStyle w:val="Bibliography"/>
        <w:jc w:val="both"/>
      </w:pPr>
      <w:bookmarkStart w:id="31" w:name="ref-connolly1989"/>
      <w:bookmarkEnd w:id="30"/>
      <w:r>
        <w:t xml:space="preserve">Connolly, K., &amp; Dalgleish, M. (1989). The emergence of a tool-using skill in infancy. </w:t>
      </w:r>
      <w:r>
        <w:rPr>
          <w:i/>
          <w:iCs/>
        </w:rPr>
        <w:t>Developmental Psychology</w:t>
      </w:r>
      <w:r>
        <w:t xml:space="preserve">, </w:t>
      </w:r>
      <w:r>
        <w:rPr>
          <w:i/>
          <w:iCs/>
        </w:rPr>
        <w:t>25</w:t>
      </w:r>
      <w:r>
        <w:t xml:space="preserve">(6), 894–912. </w:t>
      </w:r>
      <w:hyperlink r:id="rId30">
        <w:r>
          <w:rPr>
            <w:rStyle w:val="Hyperlink"/>
          </w:rPr>
          <w:t>https://doi.org/10.1037/0012-1649.25.6.894</w:t>
        </w:r>
      </w:hyperlink>
    </w:p>
    <w:p w14:paraId="51201DFB" w14:textId="77777777" w:rsidR="00FC6D75" w:rsidRDefault="00000000" w:rsidP="00113FB1">
      <w:pPr>
        <w:pStyle w:val="Bibliography"/>
        <w:jc w:val="both"/>
      </w:pPr>
      <w:bookmarkStart w:id="32" w:name="ref-corbey2020"/>
      <w:bookmarkEnd w:id="31"/>
      <w:r>
        <w:t xml:space="preserve">Corbey, R. (2020). Baldwin effects in early stone tools. </w:t>
      </w:r>
      <w:r>
        <w:rPr>
          <w:i/>
          <w:iCs/>
        </w:rPr>
        <w:t>Evolutionary Anthropology: Issues, News, and Reviews</w:t>
      </w:r>
      <w:r>
        <w:t xml:space="preserve">, </w:t>
      </w:r>
      <w:r>
        <w:rPr>
          <w:i/>
          <w:iCs/>
        </w:rPr>
        <w:t>29</w:t>
      </w:r>
      <w:r>
        <w:t xml:space="preserve">(5), 237–244. </w:t>
      </w:r>
      <w:hyperlink r:id="rId31">
        <w:r>
          <w:rPr>
            <w:rStyle w:val="Hyperlink"/>
          </w:rPr>
          <w:t>https://doi.org/10.1002/evan.21864</w:t>
        </w:r>
      </w:hyperlink>
    </w:p>
    <w:p w14:paraId="582B0A96" w14:textId="77777777" w:rsidR="00FC6D75" w:rsidRDefault="00000000" w:rsidP="00113FB1">
      <w:pPr>
        <w:pStyle w:val="Bibliography"/>
        <w:jc w:val="both"/>
      </w:pPr>
      <w:bookmarkStart w:id="33" w:name="ref-corbey2016"/>
      <w:bookmarkEnd w:id="32"/>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2">
        <w:r>
          <w:rPr>
            <w:rStyle w:val="Hyperlink"/>
          </w:rPr>
          <w:t>https://doi.org/10.1002/evan.21467</w:t>
        </w:r>
      </w:hyperlink>
    </w:p>
    <w:p w14:paraId="0642059F" w14:textId="77777777" w:rsidR="00FC6D75" w:rsidRDefault="00000000" w:rsidP="00113FB1">
      <w:pPr>
        <w:pStyle w:val="Bibliography"/>
        <w:jc w:val="both"/>
      </w:pPr>
      <w:bookmarkStart w:id="34" w:name="ref-crompton1993"/>
      <w:bookmarkEnd w:id="33"/>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3">
        <w:r>
          <w:rPr>
            <w:rStyle w:val="Hyperlink"/>
          </w:rPr>
          <w:t>https://doi.org/10.1006/jhev.1993.1043</w:t>
        </w:r>
      </w:hyperlink>
    </w:p>
    <w:p w14:paraId="2DDE522B" w14:textId="77777777" w:rsidR="00FC6D75" w:rsidRDefault="00000000" w:rsidP="00113FB1">
      <w:pPr>
        <w:pStyle w:val="Bibliography"/>
        <w:jc w:val="both"/>
      </w:pPr>
      <w:bookmarkStart w:id="35" w:name="ref-davis2019"/>
      <w:bookmarkEnd w:id="34"/>
      <w:r>
        <w:t xml:space="preserve">Davis, R., &amp; Ashton, N. (2019). Landscapes, environments and societies: The development of culture in Lower Palaeolithic Europe. </w:t>
      </w:r>
      <w:r>
        <w:rPr>
          <w:i/>
          <w:iCs/>
        </w:rPr>
        <w:t>Journal of Anthropological Archaeology</w:t>
      </w:r>
      <w:r>
        <w:t xml:space="preserve">, </w:t>
      </w:r>
      <w:r>
        <w:rPr>
          <w:i/>
          <w:iCs/>
        </w:rPr>
        <w:t>56</w:t>
      </w:r>
      <w:r>
        <w:t xml:space="preserve">, 101107. </w:t>
      </w:r>
      <w:hyperlink r:id="rId34">
        <w:r>
          <w:rPr>
            <w:rStyle w:val="Hyperlink"/>
          </w:rPr>
          <w:t>https://doi.org/10.1016/j.jaa.2019.101107</w:t>
        </w:r>
      </w:hyperlink>
    </w:p>
    <w:p w14:paraId="4503184F" w14:textId="77777777" w:rsidR="00FC6D75" w:rsidRDefault="00000000" w:rsidP="00113FB1">
      <w:pPr>
        <w:pStyle w:val="Bibliography"/>
        <w:jc w:val="both"/>
      </w:pPr>
      <w:bookmarkStart w:id="36" w:name="ref-deetz1967"/>
      <w:bookmarkEnd w:id="35"/>
      <w:r>
        <w:t xml:space="preserve">Deetz, J. (1967). </w:t>
      </w:r>
      <w:r>
        <w:rPr>
          <w:i/>
          <w:iCs/>
        </w:rPr>
        <w:t>Invitation to archaeology</w:t>
      </w:r>
      <w:r>
        <w:t>. Natural History Press.</w:t>
      </w:r>
    </w:p>
    <w:p w14:paraId="22C85CA0" w14:textId="77777777" w:rsidR="00FC6D75" w:rsidRDefault="00000000" w:rsidP="00113FB1">
      <w:pPr>
        <w:pStyle w:val="Bibliography"/>
        <w:jc w:val="both"/>
      </w:pPr>
      <w:bookmarkStart w:id="37" w:name="ref-driscoll2014"/>
      <w:bookmarkEnd w:id="36"/>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5">
        <w:r>
          <w:rPr>
            <w:rStyle w:val="Hyperlink"/>
          </w:rPr>
          <w:t>https://doi.org/10.1016/j.jas.2014.04.008</w:t>
        </w:r>
      </w:hyperlink>
    </w:p>
    <w:p w14:paraId="7B963C5D" w14:textId="77777777" w:rsidR="00FC6D75" w:rsidRDefault="00000000" w:rsidP="00113FB1">
      <w:pPr>
        <w:pStyle w:val="Bibliography"/>
        <w:jc w:val="both"/>
      </w:pPr>
      <w:bookmarkStart w:id="38" w:name="ref-eerkens2005"/>
      <w:bookmarkEnd w:id="37"/>
      <w:r>
        <w:t xml:space="preserve">Eerkens, J. W., &amp; Lipo, C. P. (2005). Cultural transmission, copying errors, and the generation of variation in material culture and the archaeological record. </w:t>
      </w:r>
      <w:r>
        <w:rPr>
          <w:i/>
          <w:iCs/>
        </w:rPr>
        <w:t>Journal of Anthropological Archaeology</w:t>
      </w:r>
      <w:r>
        <w:t xml:space="preserve">, </w:t>
      </w:r>
      <w:r>
        <w:rPr>
          <w:i/>
          <w:iCs/>
        </w:rPr>
        <w:t>24</w:t>
      </w:r>
      <w:r>
        <w:t xml:space="preserve">(4), 316–334. </w:t>
      </w:r>
      <w:hyperlink r:id="rId36">
        <w:r>
          <w:rPr>
            <w:rStyle w:val="Hyperlink"/>
          </w:rPr>
          <w:t>https://doi.org/10.1016/j.jaa.2005.08.001</w:t>
        </w:r>
      </w:hyperlink>
    </w:p>
    <w:p w14:paraId="4D96BE9C" w14:textId="77777777" w:rsidR="00FC6D75" w:rsidRDefault="00000000" w:rsidP="00113FB1">
      <w:pPr>
        <w:pStyle w:val="Bibliography"/>
        <w:jc w:val="both"/>
      </w:pPr>
      <w:bookmarkStart w:id="39" w:name="ref-eerkens2007"/>
      <w:bookmarkEnd w:id="38"/>
      <w:r>
        <w:t xml:space="preserve">Eerkens, J. W., &amp; Lipo, C. P. (2007). Cultural transmission theory and the archaeological record: Providing context to understanding variation and temporal changes in material </w:t>
      </w:r>
      <w:r>
        <w:lastRenderedPageBreak/>
        <w:t xml:space="preserve">culture. </w:t>
      </w:r>
      <w:r>
        <w:rPr>
          <w:i/>
          <w:iCs/>
        </w:rPr>
        <w:t>Journal of Archaeological Research</w:t>
      </w:r>
      <w:r>
        <w:t xml:space="preserve">, </w:t>
      </w:r>
      <w:r>
        <w:rPr>
          <w:i/>
          <w:iCs/>
        </w:rPr>
        <w:t>15</w:t>
      </w:r>
      <w:r>
        <w:t>(3), 239274. https://doi.org/</w:t>
      </w:r>
      <w:hyperlink r:id="rId37">
        <w:r>
          <w:rPr>
            <w:rStyle w:val="Hyperlink"/>
          </w:rPr>
          <w:t>https://doi.org/10.1007/s10814-007-9013-z</w:t>
        </w:r>
      </w:hyperlink>
    </w:p>
    <w:p w14:paraId="2B1B4635" w14:textId="77777777" w:rsidR="00FC6D75" w:rsidRDefault="00000000" w:rsidP="00113FB1">
      <w:pPr>
        <w:pStyle w:val="Bibliography"/>
        <w:jc w:val="both"/>
      </w:pPr>
      <w:bookmarkStart w:id="40" w:name="ref-eren2014"/>
      <w:bookmarkEnd w:id="39"/>
      <w:r>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8">
        <w:r>
          <w:rPr>
            <w:rStyle w:val="Hyperlink"/>
          </w:rPr>
          <w:t>https://doi.org/10.1016/j.jas.2014.05.034</w:t>
        </w:r>
      </w:hyperlink>
    </w:p>
    <w:p w14:paraId="5061296F" w14:textId="77777777" w:rsidR="00FC6D75" w:rsidRDefault="00000000" w:rsidP="00113FB1">
      <w:pPr>
        <w:pStyle w:val="Bibliography"/>
        <w:jc w:val="both"/>
      </w:pPr>
      <w:bookmarkStart w:id="41" w:name="ref-faisal2010"/>
      <w:bookmarkEnd w:id="40"/>
      <w:r>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9">
        <w:r>
          <w:rPr>
            <w:rStyle w:val="Hyperlink"/>
          </w:rPr>
          <w:t>https://doi.org/10.1371/journal.pone.0013718</w:t>
        </w:r>
      </w:hyperlink>
    </w:p>
    <w:p w14:paraId="3A7F5A6C" w14:textId="77777777" w:rsidR="00FC6D75" w:rsidRDefault="00000000" w:rsidP="00113FB1">
      <w:pPr>
        <w:pStyle w:val="Bibliography"/>
        <w:jc w:val="both"/>
      </w:pPr>
      <w:bookmarkStart w:id="42" w:name="ref-faniel2018"/>
      <w:bookmarkEnd w:id="41"/>
      <w:r>
        <w:t xml:space="preserve">Faniel, I. M., Austin, A., Kansa, E., Kansa, S. W., France, P., Jacobs, J., Boytner, R., &amp; Yakel, E. (2018). Beyond the Archive: Bridging Data Creation and Reuse in Archaeology. </w:t>
      </w:r>
      <w:r>
        <w:rPr>
          <w:i/>
          <w:iCs/>
        </w:rPr>
        <w:t>Advances in Archaeological Practice</w:t>
      </w:r>
      <w:r>
        <w:t xml:space="preserve">, </w:t>
      </w:r>
      <w:r>
        <w:rPr>
          <w:i/>
          <w:iCs/>
        </w:rPr>
        <w:t>6</w:t>
      </w:r>
      <w:r>
        <w:t xml:space="preserve">(2), 105–116. </w:t>
      </w:r>
      <w:hyperlink r:id="rId40">
        <w:r>
          <w:rPr>
            <w:rStyle w:val="Hyperlink"/>
          </w:rPr>
          <w:t>https://doi.org/10.1017/aap.2018.2</w:t>
        </w:r>
      </w:hyperlink>
    </w:p>
    <w:p w14:paraId="42BCA592" w14:textId="77777777" w:rsidR="00FC6D75" w:rsidRDefault="00000000" w:rsidP="00113FB1">
      <w:pPr>
        <w:pStyle w:val="Bibliography"/>
        <w:jc w:val="both"/>
      </w:pPr>
      <w:bookmarkStart w:id="43" w:name="ref-games1976"/>
      <w:bookmarkEnd w:id="42"/>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41">
        <w:r>
          <w:rPr>
            <w:rStyle w:val="Hyperlink"/>
          </w:rPr>
          <w:t>https://doi.org/10.2307/1164979</w:t>
        </w:r>
      </w:hyperlink>
    </w:p>
    <w:p w14:paraId="5A289EB0" w14:textId="77777777" w:rsidR="00FC6D75" w:rsidRDefault="00000000" w:rsidP="00113FB1">
      <w:pPr>
        <w:pStyle w:val="Bibliography"/>
        <w:jc w:val="both"/>
      </w:pPr>
      <w:bookmarkStart w:id="44" w:name="ref-garcía-medrano2020b"/>
      <w:bookmarkEnd w:id="43"/>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42">
        <w:r>
          <w:rPr>
            <w:rStyle w:val="Hyperlink"/>
          </w:rPr>
          <w:t>https://doi.org/10.1007/s41982-020-00054-5</w:t>
        </w:r>
      </w:hyperlink>
    </w:p>
    <w:p w14:paraId="635CBF2B" w14:textId="77777777" w:rsidR="00FC6D75" w:rsidRDefault="00000000" w:rsidP="00113FB1">
      <w:pPr>
        <w:pStyle w:val="Bibliography"/>
        <w:jc w:val="both"/>
      </w:pPr>
      <w:bookmarkStart w:id="45" w:name="ref-garcía-medrano2020a"/>
      <w:bookmarkEnd w:id="44"/>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43">
        <w:r>
          <w:rPr>
            <w:rStyle w:val="Hyperlink"/>
          </w:rPr>
          <w:t>https://doi.org/10.2218/jls.4327</w:t>
        </w:r>
      </w:hyperlink>
    </w:p>
    <w:p w14:paraId="781ED0C6" w14:textId="77777777" w:rsidR="00FC6D75" w:rsidRDefault="00000000" w:rsidP="00113FB1">
      <w:pPr>
        <w:pStyle w:val="Bibliography"/>
        <w:jc w:val="both"/>
      </w:pPr>
      <w:bookmarkStart w:id="46" w:name="ref-garcía-medrano2019"/>
      <w:bookmarkEnd w:id="45"/>
      <w:r>
        <w:t xml:space="preserve">García-Medrano, P., Ollé, A., Ashton, N., &amp; Roberts, M. B. (2019). The Mental Template in Handaxe Manufacture: New Insights into Acheulean Lithic Technological Behavior at Boxgrove, Sussex, UK. </w:t>
      </w:r>
      <w:r>
        <w:rPr>
          <w:i/>
          <w:iCs/>
        </w:rPr>
        <w:t>Journal of Archaeological Method and Theory</w:t>
      </w:r>
      <w:r>
        <w:t xml:space="preserve">, </w:t>
      </w:r>
      <w:r>
        <w:rPr>
          <w:i/>
          <w:iCs/>
        </w:rPr>
        <w:t>26</w:t>
      </w:r>
      <w:r>
        <w:t xml:space="preserve">(1), 396–422. </w:t>
      </w:r>
      <w:hyperlink r:id="rId44">
        <w:r>
          <w:rPr>
            <w:rStyle w:val="Hyperlink"/>
          </w:rPr>
          <w:t>https://doi.org/10.1007/s10816-018-9376-0</w:t>
        </w:r>
      </w:hyperlink>
    </w:p>
    <w:p w14:paraId="513C3B4F" w14:textId="77777777" w:rsidR="00FC6D75" w:rsidRDefault="00000000" w:rsidP="00113FB1">
      <w:pPr>
        <w:pStyle w:val="Bibliography"/>
        <w:jc w:val="both"/>
      </w:pPr>
      <w:bookmarkStart w:id="47" w:name="ref-garcía-medrano2022"/>
      <w:bookmarkEnd w:id="46"/>
      <w:r>
        <w:t xml:space="preserve">García-Medrano, P., Shipton, C., White, M., &amp; Ashton, N. (2022). Acheulean diversity in britain (MIS 15-MIS11): From the standardization to the regionalization of technology. </w:t>
      </w:r>
      <w:r>
        <w:rPr>
          <w:i/>
          <w:iCs/>
        </w:rPr>
        <w:t>Frontiers in Earth Science</w:t>
      </w:r>
      <w:r>
        <w:t xml:space="preserve">, </w:t>
      </w:r>
      <w:r>
        <w:rPr>
          <w:i/>
          <w:iCs/>
        </w:rPr>
        <w:t>10</w:t>
      </w:r>
      <w:r>
        <w:t xml:space="preserve">. </w:t>
      </w:r>
      <w:hyperlink r:id="rId45">
        <w:r>
          <w:rPr>
            <w:rStyle w:val="Hyperlink"/>
          </w:rPr>
          <w:t>https://www.frontiersin.org/articles/10.3389/feart.2022.917207</w:t>
        </w:r>
      </w:hyperlink>
    </w:p>
    <w:p w14:paraId="0EBC1773" w14:textId="77777777" w:rsidR="00FC6D75" w:rsidRDefault="00000000" w:rsidP="00113FB1">
      <w:pPr>
        <w:pStyle w:val="Bibliography"/>
        <w:jc w:val="both"/>
      </w:pPr>
      <w:bookmarkStart w:id="48" w:name="ref-gowlett2021"/>
      <w:bookmarkEnd w:id="47"/>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6">
        <w:r>
          <w:rPr>
            <w:rStyle w:val="Hyperlink"/>
          </w:rPr>
          <w:t>https://doi.org/10.1177/1059712320965713</w:t>
        </w:r>
      </w:hyperlink>
    </w:p>
    <w:p w14:paraId="60DC50C5" w14:textId="77777777" w:rsidR="00FC6D75" w:rsidRDefault="00000000" w:rsidP="00113FB1">
      <w:pPr>
        <w:pStyle w:val="Bibliography"/>
        <w:jc w:val="both"/>
      </w:pPr>
      <w:bookmarkStart w:id="49" w:name="ref-gowlett2006"/>
      <w:bookmarkEnd w:id="48"/>
      <w:r>
        <w:t xml:space="preserve">Gowlett, J. A. J. (2006). </w:t>
      </w:r>
      <w:r>
        <w:rPr>
          <w:i/>
          <w:iCs/>
        </w:rPr>
        <w:t>The elements of design form in acheulian bifaces: Modes, modalities, rules and language</w:t>
      </w:r>
      <w:r>
        <w:t xml:space="preserve"> (N. Goren-Inbar &amp; G. Sharon, Eds.; pp. 203–222). Equinox.</w:t>
      </w:r>
    </w:p>
    <w:p w14:paraId="7F138608" w14:textId="77777777" w:rsidR="00FC6D75" w:rsidRDefault="00000000" w:rsidP="00113FB1">
      <w:pPr>
        <w:pStyle w:val="Bibliography"/>
        <w:jc w:val="both"/>
      </w:pPr>
      <w:bookmarkStart w:id="50" w:name="ref-herzlinger2017"/>
      <w:bookmarkEnd w:id="49"/>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7">
        <w:r>
          <w:rPr>
            <w:rStyle w:val="Hyperlink"/>
          </w:rPr>
          <w:t>https://doi.org/10.1016/j.jasrep.2017.05.013</w:t>
        </w:r>
      </w:hyperlink>
    </w:p>
    <w:p w14:paraId="2B09D366" w14:textId="77777777" w:rsidR="00FC6D75" w:rsidRDefault="00000000" w:rsidP="00113FB1">
      <w:pPr>
        <w:pStyle w:val="Bibliography"/>
        <w:jc w:val="both"/>
      </w:pPr>
      <w:bookmarkStart w:id="51" w:name="ref-hillson2010"/>
      <w:bookmarkEnd w:id="50"/>
      <w:r>
        <w:lastRenderedPageBreak/>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8">
        <w:r>
          <w:rPr>
            <w:rStyle w:val="Hyperlink"/>
          </w:rPr>
          <w:t>https://doi.org/10.1016/j.jhevol.2010.06.004</w:t>
        </w:r>
      </w:hyperlink>
    </w:p>
    <w:p w14:paraId="32FFB883" w14:textId="77777777" w:rsidR="00FC6D75" w:rsidRDefault="00000000" w:rsidP="00113FB1">
      <w:pPr>
        <w:pStyle w:val="Bibliography"/>
        <w:jc w:val="both"/>
      </w:pPr>
      <w:bookmarkStart w:id="52" w:name="ref-hodgson2015"/>
      <w:bookmarkEnd w:id="51"/>
      <w:r>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9">
        <w:r>
          <w:rPr>
            <w:rStyle w:val="Hyperlink"/>
          </w:rPr>
          <w:t>https://doi.org/10.1016/j.jasrep.2015.02.002</w:t>
        </w:r>
      </w:hyperlink>
    </w:p>
    <w:p w14:paraId="175645DF" w14:textId="77777777" w:rsidR="00FC6D75" w:rsidRDefault="00000000" w:rsidP="00113FB1">
      <w:pPr>
        <w:pStyle w:val="Bibliography"/>
        <w:jc w:val="both"/>
      </w:pPr>
      <w:bookmarkStart w:id="53" w:name="ref-högberg2018"/>
      <w:bookmarkEnd w:id="52"/>
      <w:r>
        <w:t xml:space="preserve">Högberg, A. (2018). Approaches to children’s knapping in lithic technology studies. </w:t>
      </w:r>
      <w:r>
        <w:rPr>
          <w:i/>
          <w:iCs/>
        </w:rPr>
        <w:t>Revista de Arqueologia</w:t>
      </w:r>
      <w:r>
        <w:t xml:space="preserve">, </w:t>
      </w:r>
      <w:r>
        <w:rPr>
          <w:i/>
          <w:iCs/>
        </w:rPr>
        <w:t>31</w:t>
      </w:r>
      <w:r>
        <w:t xml:space="preserve">(2), 58–74. </w:t>
      </w:r>
      <w:hyperlink r:id="rId50">
        <w:r>
          <w:rPr>
            <w:rStyle w:val="Hyperlink"/>
          </w:rPr>
          <w:t>https://doi.org/10.24885/sab.v31i2.613</w:t>
        </w:r>
      </w:hyperlink>
    </w:p>
    <w:p w14:paraId="63C32C0A" w14:textId="77777777" w:rsidR="00FC6D75" w:rsidRDefault="00000000" w:rsidP="00113FB1">
      <w:pPr>
        <w:pStyle w:val="Bibliography"/>
        <w:jc w:val="both"/>
      </w:pPr>
      <w:bookmarkStart w:id="54" w:name="ref-holmes2010"/>
      <w:bookmarkEnd w:id="53"/>
      <w:r>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51">
        <w:r>
          <w:rPr>
            <w:rStyle w:val="Hyperlink"/>
          </w:rPr>
          <w:t>https://doi.org/10.1016/j.quascirev.2009.02.024</w:t>
        </w:r>
      </w:hyperlink>
    </w:p>
    <w:p w14:paraId="517D6608" w14:textId="77777777" w:rsidR="00FC6D75" w:rsidRDefault="00000000" w:rsidP="00113FB1">
      <w:pPr>
        <w:pStyle w:val="Bibliography"/>
        <w:jc w:val="both"/>
      </w:pPr>
      <w:bookmarkStart w:id="55" w:name="ref-huggett2018"/>
      <w:bookmarkEnd w:id="54"/>
      <w:r>
        <w:t xml:space="preserve">Huggett, J. (2018). Reuse Remix Recycle: Repurposing Archaeological Digital Data. </w:t>
      </w:r>
      <w:r>
        <w:rPr>
          <w:i/>
          <w:iCs/>
        </w:rPr>
        <w:t>Advances in Archaeological Practice</w:t>
      </w:r>
      <w:r>
        <w:t xml:space="preserve">, </w:t>
      </w:r>
      <w:r>
        <w:rPr>
          <w:i/>
          <w:iCs/>
        </w:rPr>
        <w:t>6</w:t>
      </w:r>
      <w:r>
        <w:t xml:space="preserve">(2), 93–104. </w:t>
      </w:r>
      <w:hyperlink r:id="rId52">
        <w:r>
          <w:rPr>
            <w:rStyle w:val="Hyperlink"/>
          </w:rPr>
          <w:t>https://doi.org/10.1017/aap.2018.1</w:t>
        </w:r>
      </w:hyperlink>
    </w:p>
    <w:p w14:paraId="52C0180C" w14:textId="77777777" w:rsidR="00FC6D75" w:rsidRDefault="00000000" w:rsidP="00113FB1">
      <w:pPr>
        <w:pStyle w:val="Bibliography"/>
        <w:jc w:val="both"/>
      </w:pPr>
      <w:bookmarkStart w:id="56" w:name="ref-hutchence2019"/>
      <w:bookmarkEnd w:id="55"/>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2E6767B7" w14:textId="77777777" w:rsidR="00FC6D75" w:rsidRDefault="00000000" w:rsidP="00113FB1">
      <w:pPr>
        <w:pStyle w:val="Bibliography"/>
        <w:jc w:val="both"/>
      </w:pPr>
      <w:bookmarkStart w:id="57" w:name="ref-hutchence2021"/>
      <w:bookmarkEnd w:id="56"/>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53">
        <w:r>
          <w:rPr>
            <w:rStyle w:val="Hyperlink"/>
          </w:rPr>
          <w:t>https://doi.org/10.1017/S0959774321000251</w:t>
        </w:r>
      </w:hyperlink>
    </w:p>
    <w:p w14:paraId="5002ABC6" w14:textId="77777777" w:rsidR="00FC6D75" w:rsidRDefault="00000000" w:rsidP="00113FB1">
      <w:pPr>
        <w:pStyle w:val="Bibliography"/>
        <w:jc w:val="both"/>
      </w:pPr>
      <w:bookmarkStart w:id="58" w:name="ref-iovita2011"/>
      <w:bookmarkEnd w:id="57"/>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54">
        <w:r>
          <w:rPr>
            <w:rStyle w:val="Hyperlink"/>
          </w:rPr>
          <w:t>https://doi.org/10.1016/j.jhevol.2011.02.007</w:t>
        </w:r>
      </w:hyperlink>
    </w:p>
    <w:p w14:paraId="1184B209" w14:textId="77777777" w:rsidR="00FC6D75" w:rsidRDefault="00000000" w:rsidP="00113FB1">
      <w:pPr>
        <w:pStyle w:val="Bibliography"/>
        <w:jc w:val="both"/>
      </w:pPr>
      <w:bookmarkStart w:id="59" w:name="ref-iovita2017"/>
      <w:bookmarkEnd w:id="58"/>
      <w:r>
        <w:t xml:space="preserve">Iovita, R., Tuvi-Arad, I., Moncel, M.-H., Despriée, J., Voinchet, P., &amp; Bahain, J.-J. (2017). High handaxe symmetry at the beginning of the European Acheulian: The data from la Noira (France) in context. </w:t>
      </w:r>
      <w:r>
        <w:rPr>
          <w:i/>
          <w:iCs/>
        </w:rPr>
        <w:t>PLOS ONE</w:t>
      </w:r>
      <w:r>
        <w:t xml:space="preserve">, </w:t>
      </w:r>
      <w:r>
        <w:rPr>
          <w:i/>
          <w:iCs/>
        </w:rPr>
        <w:t>12</w:t>
      </w:r>
      <w:r>
        <w:t xml:space="preserve">(5), e0177063. </w:t>
      </w:r>
      <w:hyperlink r:id="rId55">
        <w:r>
          <w:rPr>
            <w:rStyle w:val="Hyperlink"/>
          </w:rPr>
          <w:t>https://doi.org/10.1371/journal.pone.0177063</w:t>
        </w:r>
      </w:hyperlink>
    </w:p>
    <w:p w14:paraId="2AAEB459" w14:textId="77777777" w:rsidR="00FC6D75" w:rsidRDefault="00000000" w:rsidP="00113FB1">
      <w:pPr>
        <w:pStyle w:val="Bibliography"/>
        <w:jc w:val="both"/>
      </w:pPr>
      <w:bookmarkStart w:id="60" w:name="ref-isaac1986"/>
      <w:bookmarkEnd w:id="59"/>
      <w:r>
        <w:t xml:space="preserve">Isaac, G. L. (1986). </w:t>
      </w:r>
      <w:r>
        <w:rPr>
          <w:i/>
          <w:iCs/>
        </w:rPr>
        <w:t>Foundation stones: Early artefacts as indicators of activities and abilities</w:t>
      </w:r>
      <w:r>
        <w:t xml:space="preserve"> (G. Bailey &amp; P. Callow, Eds.; pp. 221–241). Cambridge University Press.</w:t>
      </w:r>
    </w:p>
    <w:p w14:paraId="0B499333" w14:textId="77777777" w:rsidR="00FC6D75" w:rsidRDefault="00000000" w:rsidP="00113FB1">
      <w:pPr>
        <w:pStyle w:val="Bibliography"/>
        <w:jc w:val="both"/>
      </w:pPr>
      <w:bookmarkStart w:id="61" w:name="ref-kempe2012"/>
      <w:bookmarkEnd w:id="60"/>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6">
        <w:r>
          <w:rPr>
            <w:rStyle w:val="Hyperlink"/>
          </w:rPr>
          <w:t>https://doi.org/10.1371/journal.pone.0048333</w:t>
        </w:r>
      </w:hyperlink>
    </w:p>
    <w:p w14:paraId="20A0CF57" w14:textId="77777777" w:rsidR="00FC6D75" w:rsidRDefault="00000000" w:rsidP="00113FB1">
      <w:pPr>
        <w:pStyle w:val="Bibliography"/>
        <w:jc w:val="both"/>
      </w:pPr>
      <w:bookmarkStart w:id="62" w:name="ref-keyHandaxeShapeVariation2019"/>
      <w:bookmarkEnd w:id="61"/>
      <w:r>
        <w:t xml:space="preserve">Key, A. J. M. (2019). Handaxe shape variation in a relative context. </w:t>
      </w:r>
      <w:r>
        <w:rPr>
          <w:i/>
          <w:iCs/>
        </w:rPr>
        <w:t>Comptes Rendus Palevol</w:t>
      </w:r>
      <w:r>
        <w:t xml:space="preserve">, </w:t>
      </w:r>
      <w:r>
        <w:rPr>
          <w:i/>
          <w:iCs/>
        </w:rPr>
        <w:t>18</w:t>
      </w:r>
      <w:r>
        <w:t xml:space="preserve">(5), 555–567. </w:t>
      </w:r>
      <w:hyperlink r:id="rId57">
        <w:r>
          <w:rPr>
            <w:rStyle w:val="Hyperlink"/>
          </w:rPr>
          <w:t>https://doi.org/10.1016/j.crpv.2019.04.008</w:t>
        </w:r>
      </w:hyperlink>
    </w:p>
    <w:p w14:paraId="543EFED7" w14:textId="77777777" w:rsidR="00FC6D75" w:rsidRDefault="00000000" w:rsidP="00113FB1">
      <w:pPr>
        <w:pStyle w:val="Bibliography"/>
        <w:jc w:val="both"/>
      </w:pPr>
      <w:bookmarkStart w:id="63" w:name="ref-key2017"/>
      <w:bookmarkEnd w:id="62"/>
      <w:r>
        <w:lastRenderedPageBreak/>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8">
        <w:r>
          <w:rPr>
            <w:rStyle w:val="Hyperlink"/>
          </w:rPr>
          <w:t>https://doi.org/10.1007/s10816-016-9276-0</w:t>
        </w:r>
      </w:hyperlink>
    </w:p>
    <w:p w14:paraId="0FC36DD4" w14:textId="77777777" w:rsidR="00FC6D75" w:rsidRDefault="00000000" w:rsidP="00113FB1">
      <w:pPr>
        <w:pStyle w:val="Bibliography"/>
        <w:jc w:val="both"/>
      </w:pPr>
      <w:bookmarkStart w:id="64" w:name="ref-key2019"/>
      <w:bookmarkEnd w:id="63"/>
      <w:r>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9">
        <w:r>
          <w:rPr>
            <w:rStyle w:val="Hyperlink"/>
          </w:rPr>
          <w:t>https://doi.org/10.1111/arcm.12439</w:t>
        </w:r>
      </w:hyperlink>
    </w:p>
    <w:p w14:paraId="57590AD2" w14:textId="77777777" w:rsidR="00FC6D75" w:rsidRDefault="00000000" w:rsidP="00113FB1">
      <w:pPr>
        <w:pStyle w:val="Bibliography"/>
        <w:jc w:val="both"/>
      </w:pPr>
      <w:bookmarkStart w:id="65" w:name="ref-key2016"/>
      <w:bookmarkEnd w:id="64"/>
      <w:r>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60">
        <w:r>
          <w:rPr>
            <w:rStyle w:val="Hyperlink"/>
          </w:rPr>
          <w:t>https://doi.org/10.1016/j.jaa.2016.08.002</w:t>
        </w:r>
      </w:hyperlink>
    </w:p>
    <w:p w14:paraId="0E010BF5" w14:textId="77777777" w:rsidR="00FC6D75" w:rsidRDefault="00000000" w:rsidP="00113FB1">
      <w:pPr>
        <w:pStyle w:val="Bibliography"/>
        <w:jc w:val="both"/>
      </w:pPr>
      <w:bookmarkStart w:id="66" w:name="ref-khreisheh2013"/>
      <w:bookmarkEnd w:id="65"/>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61">
        <w:r>
          <w:rPr>
            <w:rStyle w:val="Hyperlink"/>
          </w:rPr>
          <w:t>https://doi.org/10.7183/2326-3768.1.1.37</w:t>
        </w:r>
      </w:hyperlink>
    </w:p>
    <w:p w14:paraId="59347E89" w14:textId="77777777" w:rsidR="00FC6D75" w:rsidRDefault="00000000" w:rsidP="00113FB1">
      <w:pPr>
        <w:pStyle w:val="Bibliography"/>
        <w:jc w:val="both"/>
      </w:pPr>
      <w:bookmarkStart w:id="67" w:name="ref-kohn1999"/>
      <w:bookmarkEnd w:id="66"/>
      <w:r>
        <w:t xml:space="preserve">Kohn, M., &amp; Mithen, S. (1999). Handaxes: products of sexual selection? </w:t>
      </w:r>
      <w:r>
        <w:rPr>
          <w:i/>
          <w:iCs/>
        </w:rPr>
        <w:t>Antiquity</w:t>
      </w:r>
      <w:r>
        <w:t xml:space="preserve">, </w:t>
      </w:r>
      <w:r>
        <w:rPr>
          <w:i/>
          <w:iCs/>
        </w:rPr>
        <w:t>73</w:t>
      </w:r>
      <w:r>
        <w:t xml:space="preserve">(281), 518–526. </w:t>
      </w:r>
      <w:hyperlink r:id="rId62">
        <w:r>
          <w:rPr>
            <w:rStyle w:val="Hyperlink"/>
          </w:rPr>
          <w:t>https://doi.org/10.1017/S0003598X00065078</w:t>
        </w:r>
      </w:hyperlink>
    </w:p>
    <w:p w14:paraId="4DE72104" w14:textId="77777777" w:rsidR="00FC6D75" w:rsidRDefault="00000000" w:rsidP="00113FB1">
      <w:pPr>
        <w:pStyle w:val="Bibliography"/>
        <w:jc w:val="both"/>
      </w:pPr>
      <w:bookmarkStart w:id="68" w:name="ref-kolhatkar2022"/>
      <w:bookmarkEnd w:id="67"/>
      <w:r>
        <w:t xml:space="preserve">Kolhatkar, M. (2022). Skill in Stone Knapping: an Ecological Approach. </w:t>
      </w:r>
      <w:r>
        <w:rPr>
          <w:i/>
          <w:iCs/>
        </w:rPr>
        <w:t>Journal of Archaeological Method and Theory</w:t>
      </w:r>
      <w:r>
        <w:t xml:space="preserve">, </w:t>
      </w:r>
      <w:r>
        <w:rPr>
          <w:i/>
          <w:iCs/>
        </w:rPr>
        <w:t>29</w:t>
      </w:r>
      <w:r>
        <w:t xml:space="preserve">(1), 251–304. </w:t>
      </w:r>
      <w:hyperlink r:id="rId63">
        <w:r>
          <w:rPr>
            <w:rStyle w:val="Hyperlink"/>
          </w:rPr>
          <w:t>https://doi.org/10.1007/s10816-021-09521-x</w:t>
        </w:r>
      </w:hyperlink>
    </w:p>
    <w:p w14:paraId="36EA68BA" w14:textId="77777777" w:rsidR="00FC6D75" w:rsidRDefault="00000000" w:rsidP="00113FB1">
      <w:pPr>
        <w:pStyle w:val="Bibliography"/>
        <w:jc w:val="both"/>
      </w:pPr>
      <w:bookmarkStart w:id="69" w:name="ref-laland2015"/>
      <w:bookmarkEnd w:id="68"/>
      <w:r>
        <w:t xml:space="preserve">Laland, K. N., Uller, T., Feldman, M. W., Sterelny, K., Müller, G. B., Moczek, A., Jablonka, E., &amp; Odling-Smee, J. (2015). The extended evolutionary synthesis: Its structure, assumptions and predictions. </w:t>
      </w:r>
      <w:r>
        <w:rPr>
          <w:i/>
          <w:iCs/>
        </w:rPr>
        <w:t>Proceedings of the Royal Society B: Biological Sciences</w:t>
      </w:r>
      <w:r>
        <w:t xml:space="preserve">, </w:t>
      </w:r>
      <w:r>
        <w:rPr>
          <w:i/>
          <w:iCs/>
        </w:rPr>
        <w:t>282</w:t>
      </w:r>
      <w:r>
        <w:t xml:space="preserve">(1813), 20151019. </w:t>
      </w:r>
      <w:hyperlink r:id="rId64">
        <w:r>
          <w:rPr>
            <w:rStyle w:val="Hyperlink"/>
          </w:rPr>
          <w:t>https://doi.org/10.1098/rspb.2015.1019</w:t>
        </w:r>
      </w:hyperlink>
    </w:p>
    <w:p w14:paraId="59C06BFB" w14:textId="77777777" w:rsidR="00FC6D75" w:rsidRDefault="00000000" w:rsidP="00113FB1">
      <w:pPr>
        <w:pStyle w:val="Bibliography"/>
        <w:jc w:val="both"/>
      </w:pPr>
      <w:bookmarkStart w:id="70" w:name="ref-letensorer2006"/>
      <w:bookmarkEnd w:id="69"/>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65">
        <w:r>
          <w:rPr>
            <w:rStyle w:val="Hyperlink"/>
          </w:rPr>
          <w:t>https://doi.org/10.1016/j.crpv.2005.12.003</w:t>
        </w:r>
      </w:hyperlink>
    </w:p>
    <w:p w14:paraId="45FB4FCE" w14:textId="77777777" w:rsidR="00FC6D75" w:rsidRDefault="00000000" w:rsidP="00113FB1">
      <w:pPr>
        <w:pStyle w:val="Bibliography"/>
        <w:jc w:val="both"/>
      </w:pPr>
      <w:bookmarkStart w:id="71" w:name="ref-lê2008"/>
      <w:bookmarkEnd w:id="70"/>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66">
        <w:r>
          <w:rPr>
            <w:rStyle w:val="Hyperlink"/>
          </w:rPr>
          <w:t>https://doi.org/10.18637/jss.v025.i01</w:t>
        </w:r>
      </w:hyperlink>
    </w:p>
    <w:p w14:paraId="55316096" w14:textId="77777777" w:rsidR="00FC6D75" w:rsidRDefault="00000000" w:rsidP="00113FB1">
      <w:pPr>
        <w:pStyle w:val="Bibliography"/>
        <w:jc w:val="both"/>
      </w:pPr>
      <w:bookmarkStart w:id="72" w:name="ref-lewis2022"/>
      <w:bookmarkEnd w:id="71"/>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7">
        <w:r>
          <w:rPr>
            <w:rStyle w:val="Hyperlink"/>
          </w:rPr>
          <w:t>https://doi.org/10.1002/gea.21904</w:t>
        </w:r>
      </w:hyperlink>
    </w:p>
    <w:p w14:paraId="625330A8" w14:textId="77777777" w:rsidR="00FC6D75" w:rsidRDefault="00000000" w:rsidP="00113FB1">
      <w:pPr>
        <w:pStyle w:val="Bibliography"/>
        <w:jc w:val="both"/>
      </w:pPr>
      <w:bookmarkStart w:id="73" w:name="ref-lew-levy2020"/>
      <w:bookmarkEnd w:id="72"/>
      <w:r>
        <w:t xml:space="preserve">Lew-Levy, S., Milks, A., Lavi, N., Pope, S. M., &amp; Friesem, D. E. (2020). Where innovations flourish: An ethnographic and archaeological overview of huntergatherer learning contexts. </w:t>
      </w:r>
      <w:r>
        <w:rPr>
          <w:i/>
          <w:iCs/>
        </w:rPr>
        <w:t>Evolutionary Human Sciences</w:t>
      </w:r>
      <w:r>
        <w:t xml:space="preserve">, </w:t>
      </w:r>
      <w:r>
        <w:rPr>
          <w:i/>
          <w:iCs/>
        </w:rPr>
        <w:t>2</w:t>
      </w:r>
      <w:r>
        <w:t xml:space="preserve">, e31. </w:t>
      </w:r>
      <w:hyperlink r:id="rId68">
        <w:r>
          <w:rPr>
            <w:rStyle w:val="Hyperlink"/>
          </w:rPr>
          <w:t>https://doi.org/10.1017/ehs.2020.35</w:t>
        </w:r>
      </w:hyperlink>
    </w:p>
    <w:p w14:paraId="2C7E98E4" w14:textId="77777777" w:rsidR="00FC6D75" w:rsidRDefault="00000000" w:rsidP="00113FB1">
      <w:pPr>
        <w:pStyle w:val="Bibliography"/>
        <w:jc w:val="both"/>
      </w:pPr>
      <w:bookmarkStart w:id="74" w:name="ref-liu2022"/>
      <w:bookmarkEnd w:id="73"/>
      <w:r>
        <w:t xml:space="preserve">Liu, C., &amp; Stout, D. (2022). Inferring cultural reproduction from lithic data: A critical review. </w:t>
      </w:r>
      <w:r>
        <w:rPr>
          <w:i/>
          <w:iCs/>
        </w:rPr>
        <w:t>Evolutionary anthropology</w:t>
      </w:r>
      <w:r>
        <w:t xml:space="preserve">. </w:t>
      </w:r>
      <w:hyperlink r:id="rId69">
        <w:r>
          <w:rPr>
            <w:rStyle w:val="Hyperlink"/>
          </w:rPr>
          <w:t>https://doi.org/10.1002/evan.21964</w:t>
        </w:r>
      </w:hyperlink>
    </w:p>
    <w:p w14:paraId="0FBC1FF9" w14:textId="77777777" w:rsidR="00FC6D75" w:rsidRDefault="00000000" w:rsidP="00113FB1">
      <w:pPr>
        <w:pStyle w:val="Bibliography"/>
        <w:jc w:val="both"/>
      </w:pPr>
      <w:bookmarkStart w:id="75" w:name="ref-lockey2022"/>
      <w:bookmarkEnd w:id="74"/>
      <w:r>
        <w:lastRenderedPageBreak/>
        <w:t xml:space="preserve">Lockey, A. L., Rodríguez, L., Martín-Francés, L., Arsuaga, J. L., Bermúdez de Castro, J. M., Crété, L., Martinón-Torres, M., Parfitt, S., Pope, M., &amp; Stringer, C. (2022). Comparing the Boxgrove and Atapuerca (Sima de los Huesos) human fossils: Do they represent distinct paleodemes? </w:t>
      </w:r>
      <w:r>
        <w:rPr>
          <w:i/>
          <w:iCs/>
        </w:rPr>
        <w:t>Journal of Human Evolution</w:t>
      </w:r>
      <w:r>
        <w:t xml:space="preserve">, </w:t>
      </w:r>
      <w:r>
        <w:rPr>
          <w:i/>
          <w:iCs/>
        </w:rPr>
        <w:t>172</w:t>
      </w:r>
      <w:r>
        <w:t xml:space="preserve">, 103253. </w:t>
      </w:r>
      <w:hyperlink r:id="rId70">
        <w:r>
          <w:rPr>
            <w:rStyle w:val="Hyperlink"/>
          </w:rPr>
          <w:t>https://doi.org/10.1016/j.jhevol.2022.103253</w:t>
        </w:r>
      </w:hyperlink>
    </w:p>
    <w:p w14:paraId="3F234F53" w14:textId="77777777" w:rsidR="00FC6D75" w:rsidRDefault="00000000" w:rsidP="00113FB1">
      <w:pPr>
        <w:pStyle w:val="Bibliography"/>
        <w:jc w:val="both"/>
      </w:pPr>
      <w:bookmarkStart w:id="76" w:name="ref-lycett2015"/>
      <w:bookmarkEnd w:id="75"/>
      <w:r>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71">
        <w:r>
          <w:rPr>
            <w:rStyle w:val="Hyperlink"/>
          </w:rPr>
          <w:t>https://doi.org/10.1007/s10816-013-9200-9</w:t>
        </w:r>
      </w:hyperlink>
    </w:p>
    <w:p w14:paraId="48A70203" w14:textId="77777777" w:rsidR="00FC6D75" w:rsidRDefault="00000000" w:rsidP="00113FB1">
      <w:pPr>
        <w:pStyle w:val="Bibliography"/>
        <w:jc w:val="both"/>
      </w:pPr>
      <w:bookmarkStart w:id="77" w:name="ref-lycett2008"/>
      <w:bookmarkEnd w:id="76"/>
      <w:r>
        <w:t xml:space="preserve">Lycett, S. J., &amp; Gowlett, J. A. J. (2008). On questions surrounding the acheulean ’tradition’. </w:t>
      </w:r>
      <w:r>
        <w:rPr>
          <w:i/>
          <w:iCs/>
        </w:rPr>
        <w:t>World Archaeology</w:t>
      </w:r>
      <w:r>
        <w:t xml:space="preserve">, </w:t>
      </w:r>
      <w:r>
        <w:rPr>
          <w:i/>
          <w:iCs/>
        </w:rPr>
        <w:t>40</w:t>
      </w:r>
      <w:r>
        <w:t xml:space="preserve">(3), 295–315. </w:t>
      </w:r>
      <w:hyperlink r:id="rId72">
        <w:r>
          <w:rPr>
            <w:rStyle w:val="Hyperlink"/>
          </w:rPr>
          <w:t>https://www.jstor.org/stable/40388215</w:t>
        </w:r>
      </w:hyperlink>
    </w:p>
    <w:p w14:paraId="4A050548" w14:textId="77777777" w:rsidR="00FC6D75" w:rsidRDefault="00000000" w:rsidP="00113FB1">
      <w:pPr>
        <w:pStyle w:val="Bibliography"/>
        <w:jc w:val="both"/>
      </w:pPr>
      <w:bookmarkStart w:id="78" w:name="ref-lycett2016"/>
      <w:bookmarkEnd w:id="77"/>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73">
        <w:r>
          <w:rPr>
            <w:rStyle w:val="Hyperlink"/>
          </w:rPr>
          <w:t>https://doi.org/10.1016/j.quaint.2015.08.021</w:t>
        </w:r>
      </w:hyperlink>
    </w:p>
    <w:p w14:paraId="3DA86CFA" w14:textId="77777777" w:rsidR="00FC6D75" w:rsidRDefault="00000000" w:rsidP="00113FB1">
      <w:pPr>
        <w:pStyle w:val="Bibliography"/>
        <w:jc w:val="both"/>
      </w:pPr>
      <w:bookmarkStart w:id="79" w:name="ref-lycett2006"/>
      <w:bookmarkEnd w:id="78"/>
      <w:r>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74">
        <w:r>
          <w:rPr>
            <w:rStyle w:val="Hyperlink"/>
          </w:rPr>
          <w:t>https://doi.org/10.1016/j.jas.2005.10.014</w:t>
        </w:r>
      </w:hyperlink>
    </w:p>
    <w:p w14:paraId="01699A27" w14:textId="77777777" w:rsidR="00FC6D75" w:rsidRDefault="00000000" w:rsidP="00113FB1">
      <w:pPr>
        <w:pStyle w:val="Bibliography"/>
        <w:jc w:val="both"/>
      </w:pPr>
      <w:bookmarkStart w:id="80" w:name="ref-lyman2004"/>
      <w:bookmarkEnd w:id="79"/>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75">
        <w:r>
          <w:rPr>
            <w:rStyle w:val="Hyperlink"/>
          </w:rPr>
          <w:t>https://doi.org/10.1007/s10816-004-1420-6</w:t>
        </w:r>
      </w:hyperlink>
    </w:p>
    <w:p w14:paraId="4B4B69CA" w14:textId="77777777" w:rsidR="00FC6D75" w:rsidRDefault="00000000" w:rsidP="00113FB1">
      <w:pPr>
        <w:pStyle w:val="Bibliography"/>
        <w:jc w:val="both"/>
      </w:pPr>
      <w:bookmarkStart w:id="81" w:name="ref-machin2007"/>
      <w:bookmarkEnd w:id="80"/>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76">
        <w:r>
          <w:rPr>
            <w:rStyle w:val="Hyperlink"/>
          </w:rPr>
          <w:t>https://doi.org/10.1016/j.jas.2006.09.008</w:t>
        </w:r>
      </w:hyperlink>
    </w:p>
    <w:p w14:paraId="272636E3" w14:textId="77777777" w:rsidR="00FC6D75" w:rsidRDefault="00000000" w:rsidP="00113FB1">
      <w:pPr>
        <w:pStyle w:val="Bibliography"/>
        <w:jc w:val="both"/>
      </w:pPr>
      <w:bookmarkStart w:id="82" w:name="ref-marwick2017"/>
      <w:bookmarkEnd w:id="81"/>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77">
        <w:r>
          <w:rPr>
            <w:rStyle w:val="Hyperlink"/>
          </w:rPr>
          <w:t>https://doi.org/10.1007/s10816-015-9272-9</w:t>
        </w:r>
      </w:hyperlink>
    </w:p>
    <w:p w14:paraId="001472DE" w14:textId="77777777" w:rsidR="00FC6D75" w:rsidRDefault="00000000" w:rsidP="00113FB1">
      <w:pPr>
        <w:pStyle w:val="Bibliography"/>
        <w:jc w:val="both"/>
      </w:pPr>
      <w:bookmarkStart w:id="83" w:name="ref-marwick2018"/>
      <w:bookmarkEnd w:id="82"/>
      <w:r>
        <w:t xml:space="preserve">Marwick, B., &amp; Birch, S. E. P. (2018). A Standard for the Scholarly Citation of Archaeological Data as an Incentive to Data Sharing. </w:t>
      </w:r>
      <w:r>
        <w:rPr>
          <w:i/>
          <w:iCs/>
        </w:rPr>
        <w:t>Advances in Archaeological Practice</w:t>
      </w:r>
      <w:r>
        <w:t xml:space="preserve">, </w:t>
      </w:r>
      <w:r>
        <w:rPr>
          <w:i/>
          <w:iCs/>
        </w:rPr>
        <w:t>6</w:t>
      </w:r>
      <w:r>
        <w:t xml:space="preserve">(2), 125–143. </w:t>
      </w:r>
      <w:hyperlink r:id="rId78">
        <w:r>
          <w:rPr>
            <w:rStyle w:val="Hyperlink"/>
          </w:rPr>
          <w:t>https://doi.org/10.1017/aap.2018.3</w:t>
        </w:r>
      </w:hyperlink>
    </w:p>
    <w:p w14:paraId="2B875E4E" w14:textId="77777777" w:rsidR="00FC6D75" w:rsidRDefault="00000000" w:rsidP="00113FB1">
      <w:pPr>
        <w:pStyle w:val="Bibliography"/>
        <w:jc w:val="both"/>
      </w:pPr>
      <w:bookmarkStart w:id="84" w:name="ref-mcnabb2004"/>
      <w:bookmarkEnd w:id="83"/>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9">
        <w:r>
          <w:rPr>
            <w:rStyle w:val="Hyperlink"/>
          </w:rPr>
          <w:t>https://doi.org/10.1086/423973</w:t>
        </w:r>
      </w:hyperlink>
    </w:p>
    <w:p w14:paraId="03399DE6" w14:textId="77777777" w:rsidR="00FC6D75" w:rsidRDefault="00000000" w:rsidP="00113FB1">
      <w:pPr>
        <w:pStyle w:val="Bibliography"/>
        <w:jc w:val="both"/>
      </w:pPr>
      <w:bookmarkStart w:id="85" w:name="ref-mcnabb2015"/>
      <w:bookmarkEnd w:id="84"/>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80">
        <w:r>
          <w:rPr>
            <w:rStyle w:val="Hyperlink"/>
          </w:rPr>
          <w:t>https://doi.org/10.1016/j.jasrep.2015.06.004</w:t>
        </w:r>
      </w:hyperlink>
    </w:p>
    <w:p w14:paraId="546B2D36" w14:textId="77777777" w:rsidR="00FC6D75" w:rsidRDefault="00000000" w:rsidP="00113FB1">
      <w:pPr>
        <w:pStyle w:val="Bibliography"/>
        <w:jc w:val="both"/>
      </w:pPr>
      <w:bookmarkStart w:id="86" w:name="ref-milks2019"/>
      <w:bookmarkEnd w:id="85"/>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81">
        <w:r>
          <w:rPr>
            <w:rStyle w:val="Hyperlink"/>
          </w:rPr>
          <w:t>https://pdf.printfriendly.com/pdfs/make</w:t>
        </w:r>
      </w:hyperlink>
    </w:p>
    <w:p w14:paraId="2EB2545A" w14:textId="77777777" w:rsidR="00FC6D75" w:rsidRDefault="00000000" w:rsidP="00113FB1">
      <w:pPr>
        <w:pStyle w:val="Bibliography"/>
        <w:jc w:val="both"/>
      </w:pPr>
      <w:bookmarkStart w:id="87" w:name="ref-moncel2018c"/>
      <w:bookmarkEnd w:id="86"/>
      <w:r>
        <w:lastRenderedPageBreak/>
        <w:t xml:space="preserve">Moncel, M.-H., Arzarello, M., Boëda, É., Bonilauri, S., Chevrier, B., Gaillard, C., Forestier, H., Yinghua, L., Sémah, F., &amp; Zeitoun, V. (2018a). Assemblages with bifacial tools in Eurasia (third part). Considerations on the bifacial phenomenon throughout Eurasia. </w:t>
      </w:r>
      <w:r>
        <w:rPr>
          <w:i/>
          <w:iCs/>
        </w:rPr>
        <w:t>Comptes Rendus Palevol</w:t>
      </w:r>
      <w:r>
        <w:t xml:space="preserve">, </w:t>
      </w:r>
      <w:r>
        <w:rPr>
          <w:i/>
          <w:iCs/>
        </w:rPr>
        <w:t>17</w:t>
      </w:r>
      <w:r>
        <w:t xml:space="preserve">(1), 77–97. </w:t>
      </w:r>
      <w:hyperlink r:id="rId82">
        <w:r>
          <w:rPr>
            <w:rStyle w:val="Hyperlink"/>
          </w:rPr>
          <w:t>https://doi.org/10.1016/j.crpv.2015.11.007</w:t>
        </w:r>
      </w:hyperlink>
    </w:p>
    <w:p w14:paraId="0A5AC21C" w14:textId="77777777" w:rsidR="00FC6D75" w:rsidRDefault="00000000" w:rsidP="00113FB1">
      <w:pPr>
        <w:pStyle w:val="Bibliography"/>
        <w:jc w:val="both"/>
      </w:pPr>
      <w:bookmarkStart w:id="88" w:name="ref-moncel2018a"/>
      <w:bookmarkEnd w:id="87"/>
      <w:r>
        <w:t xml:space="preserve">Moncel, M.-H., Arzarello, M., Boëda, É., Bonilauri, S., Chevrier, B., Gaillard, C., Forestier, H., Yinghua, L., Sémah, F., &amp; Zeitoun, V. (2018b). The assemblages with bifacial tools in Eurasia (first part). What is going on in the West? Data on western and southern Europe and the Levant. </w:t>
      </w:r>
      <w:r>
        <w:rPr>
          <w:i/>
          <w:iCs/>
        </w:rPr>
        <w:t>Comptes Rendus Palevol</w:t>
      </w:r>
      <w:r>
        <w:t xml:space="preserve">, </w:t>
      </w:r>
      <w:r>
        <w:rPr>
          <w:i/>
          <w:iCs/>
        </w:rPr>
        <w:t>17</w:t>
      </w:r>
      <w:r>
        <w:t xml:space="preserve">(1), 45–60. </w:t>
      </w:r>
      <w:hyperlink r:id="rId83">
        <w:r>
          <w:rPr>
            <w:rStyle w:val="Hyperlink"/>
          </w:rPr>
          <w:t>https://doi.org/10.1016/j.crpv.2015.09.009</w:t>
        </w:r>
      </w:hyperlink>
    </w:p>
    <w:p w14:paraId="56D5759A" w14:textId="77777777" w:rsidR="00FC6D75" w:rsidRDefault="00000000" w:rsidP="00113FB1">
      <w:pPr>
        <w:pStyle w:val="Bibliography"/>
        <w:jc w:val="both"/>
      </w:pPr>
      <w:bookmarkStart w:id="89" w:name="ref-moncel2018b"/>
      <w:bookmarkEnd w:id="88"/>
      <w:r>
        <w:t xml:space="preserve">Moncel, M.-H., Arzarello, M., Boëda, É., Bonilauri, T., Chevrier, B., Gaillard, C., Forestier, H., Yinghua, L., Sémah, F., &amp; Zeitoun, V. (2018c). Assemblages with bifacial tools in Eurasia (second part). What is going on in the East? Data from India, Eastern Asia and Southeast Asia. </w:t>
      </w:r>
      <w:r>
        <w:rPr>
          <w:i/>
          <w:iCs/>
        </w:rPr>
        <w:t>Comptes Rendus Palevol</w:t>
      </w:r>
      <w:r>
        <w:t xml:space="preserve">, </w:t>
      </w:r>
      <w:r>
        <w:rPr>
          <w:i/>
          <w:iCs/>
        </w:rPr>
        <w:t>17</w:t>
      </w:r>
      <w:r>
        <w:t xml:space="preserve">(1), 61–76. </w:t>
      </w:r>
      <w:hyperlink r:id="rId84">
        <w:r>
          <w:rPr>
            <w:rStyle w:val="Hyperlink"/>
          </w:rPr>
          <w:t>https://doi.org/10.1016/j.crpv.2015.09.010</w:t>
        </w:r>
      </w:hyperlink>
    </w:p>
    <w:p w14:paraId="560D6F15" w14:textId="77777777" w:rsidR="00FC6D75" w:rsidRDefault="00000000" w:rsidP="00113FB1">
      <w:pPr>
        <w:pStyle w:val="Bibliography"/>
        <w:jc w:val="both"/>
      </w:pPr>
      <w:bookmarkStart w:id="90" w:name="ref-moody2021"/>
      <w:bookmarkEnd w:id="89"/>
      <w:r>
        <w:t xml:space="preserve">Moody, B., Dye, T., May, K., Wright, H., &amp; Buck, C. (2021). Digital chronological data reuse in archaeology: Three case studies with varying purposes and perspectives. </w:t>
      </w:r>
      <w:r>
        <w:rPr>
          <w:i/>
          <w:iCs/>
        </w:rPr>
        <w:t>Journal of Archaeological Science: Reports</w:t>
      </w:r>
      <w:r>
        <w:t xml:space="preserve">, </w:t>
      </w:r>
      <w:r>
        <w:rPr>
          <w:i/>
          <w:iCs/>
        </w:rPr>
        <w:t>40</w:t>
      </w:r>
      <w:r>
        <w:t xml:space="preserve">, 103188. </w:t>
      </w:r>
      <w:hyperlink r:id="rId85">
        <w:r>
          <w:rPr>
            <w:rStyle w:val="Hyperlink"/>
          </w:rPr>
          <w:t>https://doi.org/10.1016/j.jasrep.2021.103188</w:t>
        </w:r>
      </w:hyperlink>
    </w:p>
    <w:p w14:paraId="5C6B662C" w14:textId="77777777" w:rsidR="00FC6D75" w:rsidRDefault="00000000" w:rsidP="00113FB1">
      <w:pPr>
        <w:pStyle w:val="Bibliography"/>
        <w:jc w:val="both"/>
      </w:pPr>
      <w:bookmarkStart w:id="91" w:name="ref-moore2020"/>
      <w:bookmarkEnd w:id="90"/>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86">
        <w:r>
          <w:rPr>
            <w:rStyle w:val="Hyperlink"/>
          </w:rPr>
          <w:t>https://doi.org/10.1017/S0959774320000190</w:t>
        </w:r>
      </w:hyperlink>
    </w:p>
    <w:p w14:paraId="1F3B9541" w14:textId="77777777" w:rsidR="00FC6D75" w:rsidRDefault="00000000" w:rsidP="00113FB1">
      <w:pPr>
        <w:pStyle w:val="Bibliography"/>
        <w:jc w:val="both"/>
      </w:pPr>
      <w:bookmarkStart w:id="92" w:name="ref-moore2011"/>
      <w:bookmarkEnd w:id="91"/>
      <w:r>
        <w:t xml:space="preserve">Moore, M. W. (2011). The design space of stone flaking: Implications for cognitive evolution. </w:t>
      </w:r>
      <w:r>
        <w:rPr>
          <w:i/>
          <w:iCs/>
        </w:rPr>
        <w:t>World Archaeology</w:t>
      </w:r>
      <w:r>
        <w:t xml:space="preserve">, </w:t>
      </w:r>
      <w:r>
        <w:rPr>
          <w:i/>
          <w:iCs/>
        </w:rPr>
        <w:t>43</w:t>
      </w:r>
      <w:r>
        <w:t xml:space="preserve">(4), 702–715. </w:t>
      </w:r>
      <w:hyperlink r:id="rId87">
        <w:r>
          <w:rPr>
            <w:rStyle w:val="Hyperlink"/>
          </w:rPr>
          <w:t>https://doi.org/10.1080/00438243.2011.624778</w:t>
        </w:r>
      </w:hyperlink>
    </w:p>
    <w:p w14:paraId="4BD9AE56" w14:textId="77777777" w:rsidR="00FC6D75" w:rsidRDefault="00000000" w:rsidP="00113FB1">
      <w:pPr>
        <w:pStyle w:val="Bibliography"/>
        <w:jc w:val="both"/>
      </w:pPr>
      <w:bookmarkStart w:id="93" w:name="ref-moore2016"/>
      <w:bookmarkEnd w:id="92"/>
      <w:r>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88">
        <w:r>
          <w:rPr>
            <w:rStyle w:val="Hyperlink"/>
          </w:rPr>
          <w:t>https://doi.org/10.1371/journal.pone.0158803</w:t>
        </w:r>
      </w:hyperlink>
    </w:p>
    <w:p w14:paraId="7901FD45" w14:textId="77777777" w:rsidR="00FC6D75" w:rsidRDefault="00000000" w:rsidP="00113FB1">
      <w:pPr>
        <w:pStyle w:val="Bibliography"/>
        <w:jc w:val="both"/>
      </w:pPr>
      <w:bookmarkStart w:id="94" w:name="ref-nowell2021"/>
      <w:bookmarkEnd w:id="93"/>
      <w:r>
        <w:t xml:space="preserve">Nowell, A. (2021). </w:t>
      </w:r>
      <w:r>
        <w:rPr>
          <w:i/>
          <w:iCs/>
        </w:rPr>
        <w:t>Growing up in the ice age: Fossil and archaeological evidence of the lived lives of plio-pleistocene children</w:t>
      </w:r>
      <w:r>
        <w:t>. Oxbow Books.</w:t>
      </w:r>
    </w:p>
    <w:p w14:paraId="5C5E2CB6" w14:textId="77777777" w:rsidR="00FC6D75" w:rsidRDefault="00000000" w:rsidP="00113FB1">
      <w:pPr>
        <w:pStyle w:val="Bibliography"/>
        <w:jc w:val="both"/>
      </w:pPr>
      <w:bookmarkStart w:id="95" w:name="ref-nowell2002"/>
      <w:bookmarkEnd w:id="94"/>
      <w:r>
        <w:t xml:space="preserve">Nowell, A. (2002). Coincidental factors of handaxe morphology. </w:t>
      </w:r>
      <w:r>
        <w:rPr>
          <w:i/>
          <w:iCs/>
        </w:rPr>
        <w:t>Behavioral and Brain Sciences</w:t>
      </w:r>
      <w:r>
        <w:t xml:space="preserve">, </w:t>
      </w:r>
      <w:r>
        <w:rPr>
          <w:i/>
          <w:iCs/>
        </w:rPr>
        <w:t>25</w:t>
      </w:r>
      <w:r>
        <w:t xml:space="preserve">(3), 413–414. </w:t>
      </w:r>
      <w:hyperlink r:id="rId89">
        <w:r>
          <w:rPr>
            <w:rStyle w:val="Hyperlink"/>
          </w:rPr>
          <w:t>https://doi.org/10.1017/S0140525X02330073</w:t>
        </w:r>
      </w:hyperlink>
    </w:p>
    <w:p w14:paraId="23E62AA5" w14:textId="77777777" w:rsidR="00FC6D75" w:rsidRDefault="00000000" w:rsidP="00113FB1">
      <w:pPr>
        <w:pStyle w:val="Bibliography"/>
        <w:jc w:val="both"/>
      </w:pPr>
      <w:bookmarkStart w:id="96" w:name="ref-nowell2010"/>
      <w:bookmarkEnd w:id="95"/>
      <w:r>
        <w:t xml:space="preserve">Nowell, A., &amp; White, M. (2010). </w:t>
      </w:r>
      <w:r>
        <w:rPr>
          <w:i/>
          <w:iCs/>
        </w:rPr>
        <w:t>Growing up in the middle pleistocene: Life history strategies and their relationship to acheulian industries.</w:t>
      </w:r>
      <w:r>
        <w:t xml:space="preserve"> (A. Nowell &amp; I. Davidson, Eds.; pp. 67–82). University Press of Colorado. </w:t>
      </w:r>
      <w:hyperlink r:id="rId90">
        <w:r>
          <w:rPr>
            <w:rStyle w:val="Hyperlink"/>
          </w:rPr>
          <w:t>http://www.upcolorado.com/book/Stone_Tools_and_the_Evolution_of_Human_Cognition_Paper</w:t>
        </w:r>
      </w:hyperlink>
    </w:p>
    <w:p w14:paraId="4FFEBE54" w14:textId="77777777" w:rsidR="00FC6D75" w:rsidRDefault="00000000" w:rsidP="00113FB1">
      <w:pPr>
        <w:pStyle w:val="Bibliography"/>
        <w:jc w:val="both"/>
      </w:pPr>
      <w:bookmarkStart w:id="97" w:name="ref-ogundiran2021"/>
      <w:bookmarkEnd w:id="96"/>
      <w:r>
        <w:t xml:space="preserve">Ogundiran, A. (2021). Doing Archaeology in a Turbulent Time. </w:t>
      </w:r>
      <w:r>
        <w:rPr>
          <w:i/>
          <w:iCs/>
        </w:rPr>
        <w:t>African Archaeological Review</w:t>
      </w:r>
      <w:r>
        <w:t xml:space="preserve">, </w:t>
      </w:r>
      <w:r>
        <w:rPr>
          <w:i/>
          <w:iCs/>
        </w:rPr>
        <w:t>38</w:t>
      </w:r>
      <w:r>
        <w:t xml:space="preserve">(3), 397–401. </w:t>
      </w:r>
      <w:hyperlink r:id="rId91">
        <w:r>
          <w:rPr>
            <w:rStyle w:val="Hyperlink"/>
          </w:rPr>
          <w:t>https://doi.org/10.1007/s10437-021-09460-8</w:t>
        </w:r>
      </w:hyperlink>
    </w:p>
    <w:p w14:paraId="7AD873CE" w14:textId="77777777" w:rsidR="00FC6D75" w:rsidRDefault="00000000" w:rsidP="00113FB1">
      <w:pPr>
        <w:pStyle w:val="Bibliography"/>
        <w:jc w:val="both"/>
      </w:pPr>
      <w:bookmarkStart w:id="98" w:name="ref-pargeter2020"/>
      <w:bookmarkEnd w:id="97"/>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92">
        <w:r>
          <w:rPr>
            <w:rStyle w:val="Hyperlink"/>
          </w:rPr>
          <w:t>https://doi.org/10.1016/j.jhevol.2020.102807</w:t>
        </w:r>
      </w:hyperlink>
    </w:p>
    <w:p w14:paraId="5CDF9720" w14:textId="77777777" w:rsidR="00FC6D75" w:rsidRDefault="00000000" w:rsidP="00113FB1">
      <w:pPr>
        <w:pStyle w:val="Bibliography"/>
        <w:jc w:val="both"/>
      </w:pPr>
      <w:bookmarkStart w:id="99" w:name="ref-pargeter2019"/>
      <w:bookmarkEnd w:id="98"/>
      <w:r>
        <w:lastRenderedPageBreak/>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93">
        <w:r>
          <w:rPr>
            <w:rStyle w:val="Hyperlink"/>
          </w:rPr>
          <w:t>https://doi.org/10.1016/j.jhevol.2019.05.010</w:t>
        </w:r>
      </w:hyperlink>
    </w:p>
    <w:p w14:paraId="08B5990B" w14:textId="77777777" w:rsidR="00FC6D75" w:rsidRDefault="00000000" w:rsidP="00113FB1">
      <w:pPr>
        <w:pStyle w:val="Bibliography"/>
        <w:jc w:val="both"/>
      </w:pPr>
      <w:bookmarkStart w:id="100" w:name="ref-patil2021"/>
      <w:bookmarkEnd w:id="99"/>
      <w:r>
        <w:t xml:space="preserve">Patil, I. (2021). Visualizations with statistical details: The ’ggstatsplot’ approach. </w:t>
      </w:r>
      <w:r>
        <w:rPr>
          <w:i/>
          <w:iCs/>
        </w:rPr>
        <w:t>Journal of Open Source Software</w:t>
      </w:r>
      <w:r>
        <w:t xml:space="preserve">, </w:t>
      </w:r>
      <w:r>
        <w:rPr>
          <w:i/>
          <w:iCs/>
        </w:rPr>
        <w:t>6</w:t>
      </w:r>
      <w:r>
        <w:t xml:space="preserve">(61), 3167. </w:t>
      </w:r>
      <w:hyperlink r:id="rId94">
        <w:r>
          <w:rPr>
            <w:rStyle w:val="Hyperlink"/>
          </w:rPr>
          <w:t>https://doi.org/10.21105/joss.03167</w:t>
        </w:r>
      </w:hyperlink>
    </w:p>
    <w:p w14:paraId="39BCFC7C" w14:textId="77777777" w:rsidR="00FC6D75" w:rsidRDefault="00000000" w:rsidP="00113FB1">
      <w:pPr>
        <w:pStyle w:val="Bibliography"/>
        <w:jc w:val="both"/>
      </w:pPr>
      <w:bookmarkStart w:id="101" w:name="ref-pelcin1997"/>
      <w:bookmarkEnd w:id="100"/>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95">
        <w:r>
          <w:rPr>
            <w:rStyle w:val="Hyperlink"/>
          </w:rPr>
          <w:t>https://doi.org/10.1006/jasc.1996.0145</w:t>
        </w:r>
      </w:hyperlink>
    </w:p>
    <w:p w14:paraId="222EF172" w14:textId="77777777" w:rsidR="00FC6D75" w:rsidRDefault="00000000" w:rsidP="00113FB1">
      <w:pPr>
        <w:pStyle w:val="Bibliography"/>
        <w:jc w:val="both"/>
      </w:pPr>
      <w:bookmarkStart w:id="102" w:name="ref-pelegrin1993"/>
      <w:bookmarkEnd w:id="101"/>
      <w:r>
        <w:t xml:space="preserve">Pelegrin, J. (1993). </w:t>
      </w:r>
      <w:r>
        <w:rPr>
          <w:i/>
          <w:iCs/>
        </w:rPr>
        <w:t>A framework for analysing prehistoric stone tool manufacture and a tentative application to some early stone industries</w:t>
      </w:r>
      <w:r>
        <w:t xml:space="preserve"> (pp. 302–317). Oxford University Press. </w:t>
      </w:r>
      <w:hyperlink r:id="rId96">
        <w:r>
          <w:rPr>
            <w:rStyle w:val="Hyperlink"/>
          </w:rPr>
          <w:t>https://doi.org/10.1093/acprof:oso/9780198522638.003.0018</w:t>
        </w:r>
      </w:hyperlink>
    </w:p>
    <w:p w14:paraId="7DF1786E" w14:textId="77777777" w:rsidR="00FC6D75" w:rsidRDefault="00000000" w:rsidP="00113FB1">
      <w:pPr>
        <w:pStyle w:val="Bibliography"/>
        <w:jc w:val="both"/>
      </w:pPr>
      <w:bookmarkStart w:id="103" w:name="ref-earlyhu1998"/>
      <w:bookmarkEnd w:id="102"/>
      <w:r>
        <w:t xml:space="preserve">Petraglia, M. D., &amp; Korisettar, R. (Eds.). (1998). </w:t>
      </w:r>
      <w:r>
        <w:rPr>
          <w:i/>
          <w:iCs/>
        </w:rPr>
        <w:t>Early human behaviour in global context: The rise and diversity of the lower palaeolithic record</w:t>
      </w:r>
      <w:r>
        <w:t xml:space="preserve">. Routledge. </w:t>
      </w:r>
      <w:hyperlink r:id="rId97">
        <w:r>
          <w:rPr>
            <w:rStyle w:val="Hyperlink"/>
          </w:rPr>
          <w:t>https://doi.org/10.4324/9780203203279</w:t>
        </w:r>
      </w:hyperlink>
    </w:p>
    <w:p w14:paraId="33A601E2" w14:textId="77777777" w:rsidR="00FC6D75" w:rsidRDefault="00000000" w:rsidP="00113FB1">
      <w:pPr>
        <w:pStyle w:val="Bibliography"/>
        <w:jc w:val="both"/>
      </w:pPr>
      <w:bookmarkStart w:id="104" w:name="ref-pope2020"/>
      <w:bookmarkEnd w:id="103"/>
      <w:r>
        <w:t xml:space="preserve">Pope, M., Parfitt, S., &amp; Roberts, M. (2020). </w:t>
      </w:r>
      <w:r>
        <w:rPr>
          <w:i/>
          <w:iCs/>
        </w:rPr>
        <w:t>The horse butchery site 2020: A high-resolution record of lower palaeolithic hominin behviour at boxgrove, UK</w:t>
      </w:r>
      <w:r>
        <w:t>. SpoilHeap Publications.</w:t>
      </w:r>
    </w:p>
    <w:p w14:paraId="02A30090" w14:textId="77777777" w:rsidR="00FC6D75" w:rsidRDefault="00000000" w:rsidP="00113FB1">
      <w:pPr>
        <w:pStyle w:val="Bibliography"/>
        <w:jc w:val="both"/>
      </w:pPr>
      <w:bookmarkStart w:id="105" w:name="ref-preece2022"/>
      <w:bookmarkEnd w:id="104"/>
      <w:r>
        <w:t xml:space="preserve">Preece, R. C., &amp; Parfitt, S. A. (2022). Environmental heterogeneity of the Lower Palaeolithic land surface on the Goodwood-Slindon Raised Beach: comparisons of the records from Boxgrove and Valdoe, Sussex, UK. </w:t>
      </w:r>
      <w:r>
        <w:rPr>
          <w:i/>
          <w:iCs/>
        </w:rPr>
        <w:t>Journal of Quaternary Science</w:t>
      </w:r>
      <w:r>
        <w:t xml:space="preserve">, </w:t>
      </w:r>
      <w:r>
        <w:rPr>
          <w:i/>
          <w:iCs/>
        </w:rPr>
        <w:t>37</w:t>
      </w:r>
      <w:r>
        <w:t xml:space="preserve">(4), 572–592. </w:t>
      </w:r>
      <w:hyperlink r:id="rId98">
        <w:r>
          <w:rPr>
            <w:rStyle w:val="Hyperlink"/>
          </w:rPr>
          <w:t>https://doi.org/10.1002/jqs.3409</w:t>
        </w:r>
      </w:hyperlink>
    </w:p>
    <w:p w14:paraId="42595666" w14:textId="77777777" w:rsidR="00FC6D75" w:rsidRDefault="00000000" w:rsidP="00113FB1">
      <w:pPr>
        <w:pStyle w:val="Bibliography"/>
        <w:jc w:val="both"/>
      </w:pPr>
      <w:bookmarkStart w:id="106" w:name="ref-rcoreteam2021"/>
      <w:bookmarkEnd w:id="105"/>
      <w:r>
        <w:t xml:space="preserve">R Core Team. (2021). </w:t>
      </w:r>
      <w:r>
        <w:rPr>
          <w:i/>
          <w:iCs/>
        </w:rPr>
        <w:t>R: A language and environment for statistical computing</w:t>
      </w:r>
      <w:r>
        <w:t xml:space="preserve">. R Foundation for Statistical Computing. </w:t>
      </w:r>
      <w:hyperlink r:id="rId99">
        <w:r>
          <w:rPr>
            <w:rStyle w:val="Hyperlink"/>
          </w:rPr>
          <w:t>https://www.R-project.org/</w:t>
        </w:r>
      </w:hyperlink>
    </w:p>
    <w:p w14:paraId="785468D6" w14:textId="77777777" w:rsidR="00FC6D75" w:rsidRDefault="00000000" w:rsidP="00113FB1">
      <w:pPr>
        <w:pStyle w:val="Bibliography"/>
        <w:jc w:val="both"/>
      </w:pPr>
      <w:bookmarkStart w:id="107" w:name="ref-richerson2005"/>
      <w:bookmarkEnd w:id="106"/>
      <w:r>
        <w:t xml:space="preserve">Richerson, P. J., &amp; Boyd, R. (2005). </w:t>
      </w:r>
      <w:r>
        <w:rPr>
          <w:i/>
          <w:iCs/>
        </w:rPr>
        <w:t>Not By Genes Alone: How Culture Transformed Human Evolution</w:t>
      </w:r>
      <w:r>
        <w:t>. University of Chicago Press.</w:t>
      </w:r>
    </w:p>
    <w:p w14:paraId="5946CC28" w14:textId="77777777" w:rsidR="00FC6D75" w:rsidRDefault="00000000" w:rsidP="00113FB1">
      <w:pPr>
        <w:pStyle w:val="Bibliography"/>
        <w:jc w:val="both"/>
      </w:pPr>
      <w:bookmarkStart w:id="108" w:name="ref-roberts1998"/>
      <w:bookmarkEnd w:id="107"/>
      <w:r>
        <w:t xml:space="preserve">Roberts, M. B., &amp; Parfitt, S. A. (1998). </w:t>
      </w:r>
      <w:r>
        <w:rPr>
          <w:i/>
          <w:iCs/>
        </w:rPr>
        <w:t>Boxgrove: A middle pleistocene hominid site at eartham quarry, boxgrove, west sussex</w:t>
      </w:r>
      <w:r>
        <w:t>. English Heritage.</w:t>
      </w:r>
    </w:p>
    <w:p w14:paraId="0C130276" w14:textId="77777777" w:rsidR="00FC6D75" w:rsidRDefault="00000000" w:rsidP="00113FB1">
      <w:pPr>
        <w:pStyle w:val="Bibliography"/>
        <w:jc w:val="both"/>
      </w:pPr>
      <w:bookmarkStart w:id="109" w:name="ref-roberts2009"/>
      <w:bookmarkEnd w:id="108"/>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505219DF" w14:textId="77777777" w:rsidR="00FC6D75" w:rsidRDefault="00000000" w:rsidP="00113FB1">
      <w:pPr>
        <w:pStyle w:val="Bibliography"/>
        <w:jc w:val="both"/>
      </w:pPr>
      <w:bookmarkStart w:id="110" w:name="ref-roberts1994"/>
      <w:bookmarkEnd w:id="109"/>
      <w:r>
        <w:t xml:space="preserve">Roberts, M. B., Stringer, C. B., &amp; Parfitt, S. A. (1994). A hominid tibia from Middle Pleistocene sediments at Boxgrove, UK. </w:t>
      </w:r>
      <w:r>
        <w:rPr>
          <w:i/>
          <w:iCs/>
        </w:rPr>
        <w:t>Nature</w:t>
      </w:r>
      <w:r>
        <w:t xml:space="preserve">, </w:t>
      </w:r>
      <w:r>
        <w:rPr>
          <w:i/>
          <w:iCs/>
        </w:rPr>
        <w:t>369</w:t>
      </w:r>
      <w:r>
        <w:t xml:space="preserve">(6478), 311–313. </w:t>
      </w:r>
      <w:hyperlink r:id="rId100">
        <w:r>
          <w:rPr>
            <w:rStyle w:val="Hyperlink"/>
          </w:rPr>
          <w:t>https://doi.org/10.1038/369311a0</w:t>
        </w:r>
      </w:hyperlink>
    </w:p>
    <w:p w14:paraId="78B751E8" w14:textId="77777777" w:rsidR="00FC6D75" w:rsidRDefault="00000000" w:rsidP="00113FB1">
      <w:pPr>
        <w:pStyle w:val="Bibliography"/>
        <w:jc w:val="both"/>
      </w:pPr>
      <w:bookmarkStart w:id="111" w:name="ref-roe1969"/>
      <w:bookmarkEnd w:id="110"/>
      <w:r>
        <w:t xml:space="preserve">Roe, D. A. (1969). British Lower and Middle Palaeolithic Handaxe Groups*. </w:t>
      </w:r>
      <w:r>
        <w:rPr>
          <w:i/>
          <w:iCs/>
        </w:rPr>
        <w:t>Proceedings of the Prehistoric Society</w:t>
      </w:r>
      <w:r>
        <w:t xml:space="preserve">, </w:t>
      </w:r>
      <w:r>
        <w:rPr>
          <w:i/>
          <w:iCs/>
        </w:rPr>
        <w:t>34</w:t>
      </w:r>
      <w:r>
        <w:t xml:space="preserve">, 1–82. </w:t>
      </w:r>
      <w:hyperlink r:id="rId101">
        <w:r>
          <w:rPr>
            <w:rStyle w:val="Hyperlink"/>
          </w:rPr>
          <w:t>https://doi.org/10.1017/S0079497X00013840</w:t>
        </w:r>
      </w:hyperlink>
    </w:p>
    <w:p w14:paraId="2BCE1F94" w14:textId="77777777" w:rsidR="00FC6D75" w:rsidRDefault="00000000" w:rsidP="00113FB1">
      <w:pPr>
        <w:pStyle w:val="Bibliography"/>
        <w:jc w:val="both"/>
      </w:pPr>
      <w:bookmarkStart w:id="112" w:name="ref-roux1995"/>
      <w:bookmarkEnd w:id="111"/>
      <w:r>
        <w:lastRenderedPageBreak/>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102">
        <w:r>
          <w:rPr>
            <w:rStyle w:val="Hyperlink"/>
          </w:rPr>
          <w:t>https://doi.org/10.1080/00438243.1995.9980293</w:t>
        </w:r>
      </w:hyperlink>
    </w:p>
    <w:p w14:paraId="1D9E32A1" w14:textId="77777777" w:rsidR="00FC6D75" w:rsidRDefault="00000000" w:rsidP="00113FB1">
      <w:pPr>
        <w:pStyle w:val="Bibliography"/>
        <w:jc w:val="both"/>
      </w:pPr>
      <w:bookmarkStart w:id="113" w:name="ref-rueden2017"/>
      <w:bookmarkEnd w:id="112"/>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103">
        <w:r>
          <w:rPr>
            <w:rStyle w:val="Hyperlink"/>
          </w:rPr>
          <w:t>https://doi.org/10.1186/s12859-017-1934-z</w:t>
        </w:r>
      </w:hyperlink>
    </w:p>
    <w:p w14:paraId="5909175D" w14:textId="77777777" w:rsidR="00FC6D75" w:rsidRDefault="00000000" w:rsidP="00113FB1">
      <w:pPr>
        <w:pStyle w:val="Bibliography"/>
        <w:jc w:val="both"/>
      </w:pPr>
      <w:bookmarkStart w:id="114" w:name="ref-sauder2019"/>
      <w:bookmarkEnd w:id="113"/>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104">
        <w:r>
          <w:rPr>
            <w:rStyle w:val="Hyperlink"/>
          </w:rPr>
          <w:t>https://doi.org/10.1177/2515245918808784</w:t>
        </w:r>
      </w:hyperlink>
    </w:p>
    <w:p w14:paraId="4CD2328F" w14:textId="77777777" w:rsidR="00FC6D75" w:rsidRDefault="00000000" w:rsidP="00113FB1">
      <w:pPr>
        <w:pStyle w:val="Bibliography"/>
        <w:jc w:val="both"/>
      </w:pPr>
      <w:bookmarkStart w:id="115" w:name="ref-schick1993"/>
      <w:bookmarkEnd w:id="114"/>
      <w:r>
        <w:t xml:space="preserve">Schick, K. D., &amp; Toth, N. P. (1993). </w:t>
      </w:r>
      <w:r>
        <w:rPr>
          <w:i/>
          <w:iCs/>
        </w:rPr>
        <w:t>Making Silent Stones Speak: Human Evolution And The Dawn Of Technology</w:t>
      </w:r>
      <w:r>
        <w:t>. Simon; Schuster.</w:t>
      </w:r>
    </w:p>
    <w:p w14:paraId="36EA87BE" w14:textId="77777777" w:rsidR="00FC6D75" w:rsidRDefault="00000000" w:rsidP="00113FB1">
      <w:pPr>
        <w:pStyle w:val="Bibliography"/>
        <w:jc w:val="both"/>
      </w:pPr>
      <w:bookmarkStart w:id="116" w:name="ref-schillingerCopyingErrorCultural2014a"/>
      <w:bookmarkEnd w:id="115"/>
      <w:r>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5">
        <w:r>
          <w:rPr>
            <w:rStyle w:val="Hyperlink"/>
          </w:rPr>
          <w:t>https://doi.org/10.7183/0002-7316.79.1.128</w:t>
        </w:r>
      </w:hyperlink>
    </w:p>
    <w:p w14:paraId="5E665E29" w14:textId="77777777" w:rsidR="00FC6D75" w:rsidRDefault="00000000" w:rsidP="00113FB1">
      <w:pPr>
        <w:pStyle w:val="Bibliography"/>
        <w:jc w:val="both"/>
      </w:pPr>
      <w:bookmarkStart w:id="117" w:name="ref-schillingerConsideringRoleTime2014"/>
      <w:bookmarkEnd w:id="116"/>
      <w:r>
        <w:t xml:space="preserve">Schillinger, K., Mesoudi, A., &amp; Lycett, S. J. (2014b). Considering the Role of Time Budgets on Copy-Error Rates in Material Culture Traditions: An Experimental Assessment. </w:t>
      </w:r>
      <w:r>
        <w:rPr>
          <w:i/>
          <w:iCs/>
        </w:rPr>
        <w:t>PLOS ONE</w:t>
      </w:r>
      <w:r>
        <w:t xml:space="preserve">, </w:t>
      </w:r>
      <w:r>
        <w:rPr>
          <w:i/>
          <w:iCs/>
        </w:rPr>
        <w:t>9</w:t>
      </w:r>
      <w:r>
        <w:t xml:space="preserve">(5), e97157. </w:t>
      </w:r>
      <w:hyperlink r:id="rId106">
        <w:r>
          <w:rPr>
            <w:rStyle w:val="Hyperlink"/>
          </w:rPr>
          <w:t>https://doi.org/10.1371/journal.pone.0097157</w:t>
        </w:r>
      </w:hyperlink>
    </w:p>
    <w:p w14:paraId="18373871" w14:textId="77777777" w:rsidR="00FC6D75" w:rsidRDefault="00000000" w:rsidP="00113FB1">
      <w:pPr>
        <w:pStyle w:val="Bibliography"/>
        <w:jc w:val="both"/>
      </w:pPr>
      <w:bookmarkStart w:id="118" w:name="ref-schillinger2017"/>
      <w:bookmarkEnd w:id="117"/>
      <w:r>
        <w:t xml:space="preserve">Schillinger, K., Mesoudi, A., &amp; Lycett, S. J. (2017). Differences in Manufacturing Traditions and Assemblage-Level Patterns: the Origins of Cultural Differences in Archaeological Data. </w:t>
      </w:r>
      <w:r>
        <w:rPr>
          <w:i/>
          <w:iCs/>
        </w:rPr>
        <w:t>Journal of Archaeological Method and Theory</w:t>
      </w:r>
      <w:r>
        <w:t xml:space="preserve">, </w:t>
      </w:r>
      <w:r>
        <w:rPr>
          <w:i/>
          <w:iCs/>
        </w:rPr>
        <w:t>24</w:t>
      </w:r>
      <w:r>
        <w:t xml:space="preserve">(2), 640–658. </w:t>
      </w:r>
      <w:hyperlink r:id="rId107">
        <w:r>
          <w:rPr>
            <w:rStyle w:val="Hyperlink"/>
          </w:rPr>
          <w:t>https://doi.org/10.1007/s10816-016-9280-4</w:t>
        </w:r>
      </w:hyperlink>
    </w:p>
    <w:p w14:paraId="197D0FF5" w14:textId="77777777" w:rsidR="00FC6D75" w:rsidRDefault="00000000" w:rsidP="00113FB1">
      <w:pPr>
        <w:pStyle w:val="Bibliography"/>
        <w:jc w:val="both"/>
      </w:pPr>
      <w:bookmarkStart w:id="119" w:name="ref-schillinger2015"/>
      <w:bookmarkEnd w:id="118"/>
      <w:r>
        <w:t xml:space="preserve">Schillinger, K., Mesoudi, A., &amp; Lycett, S. J. (2015). The impact of imitative versus emulative learning mechanisms on artifactual variation: implications for the evolution of material culture. </w:t>
      </w:r>
      <w:r>
        <w:rPr>
          <w:i/>
          <w:iCs/>
        </w:rPr>
        <w:t>Evolution and Human Behavior</w:t>
      </w:r>
      <w:r>
        <w:t xml:space="preserve">, </w:t>
      </w:r>
      <w:r>
        <w:rPr>
          <w:i/>
          <w:iCs/>
        </w:rPr>
        <w:t>36</w:t>
      </w:r>
      <w:r>
        <w:t xml:space="preserve">(6), 446–455. </w:t>
      </w:r>
      <w:hyperlink r:id="rId108">
        <w:r>
          <w:rPr>
            <w:rStyle w:val="Hyperlink"/>
          </w:rPr>
          <w:t>https://doi.org/10.1016/j.evolhumbehav.2015.04.003</w:t>
        </w:r>
      </w:hyperlink>
    </w:p>
    <w:p w14:paraId="6DD9F9BA" w14:textId="77777777" w:rsidR="00FC6D75" w:rsidRDefault="00000000" w:rsidP="00113FB1">
      <w:pPr>
        <w:pStyle w:val="Bibliography"/>
        <w:jc w:val="both"/>
      </w:pPr>
      <w:bookmarkStart w:id="120" w:name="ref-sharon2008"/>
      <w:bookmarkEnd w:id="119"/>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109">
        <w:r>
          <w:rPr>
            <w:rStyle w:val="Hyperlink"/>
          </w:rPr>
          <w:t>https://doi.org/10.1016/j.jas.2007.09.004</w:t>
        </w:r>
      </w:hyperlink>
    </w:p>
    <w:p w14:paraId="5E4E3899" w14:textId="77777777" w:rsidR="00FC6D75" w:rsidRDefault="00000000" w:rsidP="00113FB1">
      <w:pPr>
        <w:pStyle w:val="Bibliography"/>
        <w:jc w:val="both"/>
      </w:pPr>
      <w:bookmarkStart w:id="121" w:name="ref-sharon2011"/>
      <w:bookmarkEnd w:id="120"/>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110">
        <w:r>
          <w:rPr>
            <w:rStyle w:val="Hyperlink"/>
          </w:rPr>
          <w:t>https://doi.org/10.1016/j.jhevol.2009.11.012</w:t>
        </w:r>
      </w:hyperlink>
    </w:p>
    <w:p w14:paraId="79DE324D" w14:textId="77777777" w:rsidR="00FC6D75" w:rsidRDefault="00000000" w:rsidP="00113FB1">
      <w:pPr>
        <w:pStyle w:val="Bibliography"/>
        <w:jc w:val="both"/>
      </w:pPr>
      <w:bookmarkStart w:id="122" w:name="ref-shipton2015"/>
      <w:bookmarkEnd w:id="121"/>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111">
        <w:r>
          <w:rPr>
            <w:rStyle w:val="Hyperlink"/>
          </w:rPr>
          <w:t>https://doi.org/10.1016/j.jasrep.2015.06.029</w:t>
        </w:r>
      </w:hyperlink>
    </w:p>
    <w:p w14:paraId="5C3CA351" w14:textId="77777777" w:rsidR="00FC6D75" w:rsidRDefault="00000000" w:rsidP="00113FB1">
      <w:pPr>
        <w:pStyle w:val="Bibliography"/>
        <w:jc w:val="both"/>
      </w:pPr>
      <w:bookmarkStart w:id="123" w:name="ref-shipton2013"/>
      <w:bookmarkEnd w:id="122"/>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112">
        <w:r>
          <w:rPr>
            <w:rStyle w:val="Hyperlink"/>
          </w:rPr>
          <w:t>https://doi.org/10.1016/j.jhevol.2013.03.007</w:t>
        </w:r>
      </w:hyperlink>
    </w:p>
    <w:p w14:paraId="1D523145" w14:textId="77777777" w:rsidR="00FC6D75" w:rsidRDefault="00000000" w:rsidP="00113FB1">
      <w:pPr>
        <w:pStyle w:val="Bibliography"/>
        <w:jc w:val="both"/>
      </w:pPr>
      <w:bookmarkStart w:id="124" w:name="ref-shipton2009"/>
      <w:bookmarkEnd w:id="123"/>
      <w:r>
        <w:lastRenderedPageBreak/>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113">
        <w:r>
          <w:rPr>
            <w:rStyle w:val="Hyperlink"/>
          </w:rPr>
          <w:t>https://doi.org/10.1017/S0003598X00098987</w:t>
        </w:r>
      </w:hyperlink>
    </w:p>
    <w:p w14:paraId="7538EB8C" w14:textId="77777777" w:rsidR="00FC6D75" w:rsidRDefault="00000000" w:rsidP="00113FB1">
      <w:pPr>
        <w:pStyle w:val="Bibliography"/>
        <w:jc w:val="both"/>
      </w:pPr>
      <w:bookmarkStart w:id="125" w:name="ref-shipton2020"/>
      <w:bookmarkEnd w:id="124"/>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14">
        <w:r>
          <w:rPr>
            <w:rStyle w:val="Hyperlink"/>
          </w:rPr>
          <w:t>https://doi.org/10.1016/j.jasrep.2020.102352</w:t>
        </w:r>
      </w:hyperlink>
    </w:p>
    <w:p w14:paraId="23B13EA4" w14:textId="77777777" w:rsidR="00FC6D75" w:rsidRDefault="00000000" w:rsidP="00113FB1">
      <w:pPr>
        <w:pStyle w:val="Bibliography"/>
        <w:jc w:val="both"/>
      </w:pPr>
      <w:bookmarkStart w:id="126" w:name="ref-smith2013"/>
      <w:bookmarkEnd w:id="125"/>
      <w:r>
        <w:t xml:space="preserve">Smith, G. M. (2013). Taphonomic resolution and hominin subsistence behaviour in the Lower Palaeolithic: differing data scales and interpretive frameworks at Boxgrove and Swanscombe (UK). </w:t>
      </w:r>
      <w:r>
        <w:rPr>
          <w:i/>
          <w:iCs/>
        </w:rPr>
        <w:t>Journal of Archaeological Science</w:t>
      </w:r>
      <w:r>
        <w:t xml:space="preserve">, </w:t>
      </w:r>
      <w:r>
        <w:rPr>
          <w:i/>
          <w:iCs/>
        </w:rPr>
        <w:t>40</w:t>
      </w:r>
      <w:r>
        <w:t xml:space="preserve">(10), 3754–3767. </w:t>
      </w:r>
      <w:hyperlink r:id="rId115">
        <w:r>
          <w:rPr>
            <w:rStyle w:val="Hyperlink"/>
          </w:rPr>
          <w:t>https://doi.org/10.1016/j.jas.2013.05.002</w:t>
        </w:r>
      </w:hyperlink>
    </w:p>
    <w:p w14:paraId="61BCD8E4" w14:textId="77777777" w:rsidR="00FC6D75" w:rsidRDefault="00000000" w:rsidP="00113FB1">
      <w:pPr>
        <w:pStyle w:val="Bibliography"/>
        <w:jc w:val="both"/>
      </w:pPr>
      <w:bookmarkStart w:id="127" w:name="ref-smith2012"/>
      <w:bookmarkEnd w:id="126"/>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16">
        <w:r>
          <w:rPr>
            <w:rStyle w:val="Hyperlink"/>
          </w:rPr>
          <w:t>https://dialnet.unirioja.es/servlet/articulo?codigo=5002455</w:t>
        </w:r>
      </w:hyperlink>
    </w:p>
    <w:p w14:paraId="24D98F54" w14:textId="77777777" w:rsidR="00FC6D75" w:rsidRDefault="00000000" w:rsidP="00113FB1">
      <w:pPr>
        <w:pStyle w:val="Bibliography"/>
        <w:jc w:val="both"/>
      </w:pPr>
      <w:bookmarkStart w:id="128" w:name="ref-sobotkova2018"/>
      <w:bookmarkEnd w:id="127"/>
      <w:r>
        <w:t xml:space="preserve">Sobotkova, A. (2018). Sociotechnical Obstacles to Archaeological Data Reuse. </w:t>
      </w:r>
      <w:r>
        <w:rPr>
          <w:i/>
          <w:iCs/>
        </w:rPr>
        <w:t>Advances in Archaeological Practice</w:t>
      </w:r>
      <w:r>
        <w:t xml:space="preserve">, </w:t>
      </w:r>
      <w:r>
        <w:rPr>
          <w:i/>
          <w:iCs/>
        </w:rPr>
        <w:t>6</w:t>
      </w:r>
      <w:r>
        <w:t xml:space="preserve">(2), 117–124. </w:t>
      </w:r>
      <w:hyperlink r:id="rId117">
        <w:r>
          <w:rPr>
            <w:rStyle w:val="Hyperlink"/>
          </w:rPr>
          <w:t>https://doi.org/10.1017/aap.2017.37</w:t>
        </w:r>
      </w:hyperlink>
    </w:p>
    <w:p w14:paraId="495C3D97" w14:textId="77777777" w:rsidR="00FC6D75" w:rsidRDefault="00000000" w:rsidP="00113FB1">
      <w:pPr>
        <w:pStyle w:val="Bibliography"/>
        <w:jc w:val="both"/>
      </w:pPr>
      <w:bookmarkStart w:id="129" w:name="ref-spikins2012"/>
      <w:bookmarkEnd w:id="128"/>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18">
        <w:r>
          <w:rPr>
            <w:rStyle w:val="Hyperlink"/>
          </w:rPr>
          <w:t>https://doi.org/10.1080/00438243.2012.725889</w:t>
        </w:r>
      </w:hyperlink>
    </w:p>
    <w:p w14:paraId="72B3ACE8" w14:textId="77777777" w:rsidR="00FC6D75" w:rsidRDefault="00000000" w:rsidP="00113FB1">
      <w:pPr>
        <w:pStyle w:val="Bibliography"/>
        <w:jc w:val="both"/>
      </w:pPr>
      <w:bookmarkStart w:id="130" w:name="ref-sterelny2004"/>
      <w:bookmarkEnd w:id="129"/>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19">
        <w:r>
          <w:rPr>
            <w:rStyle w:val="Hyperlink"/>
          </w:rPr>
          <w:t>https://doi.org/10.1111/j.1525-142X.2004.04035.x</w:t>
        </w:r>
      </w:hyperlink>
    </w:p>
    <w:p w14:paraId="71FD456D" w14:textId="77777777" w:rsidR="00FC6D75" w:rsidRDefault="00000000" w:rsidP="00113FB1">
      <w:pPr>
        <w:pStyle w:val="Bibliography"/>
        <w:jc w:val="both"/>
      </w:pPr>
      <w:bookmarkStart w:id="131" w:name="ref-stout2021a"/>
      <w:bookmarkEnd w:id="130"/>
      <w:r>
        <w:t xml:space="preserve">Stout, D. (2021). The cognitive science of technology. </w:t>
      </w:r>
      <w:r>
        <w:rPr>
          <w:i/>
          <w:iCs/>
        </w:rPr>
        <w:t>Trends in Cognitive Sciences</w:t>
      </w:r>
      <w:r>
        <w:t xml:space="preserve">, </w:t>
      </w:r>
      <w:r>
        <w:rPr>
          <w:i/>
          <w:iCs/>
        </w:rPr>
        <w:t>25</w:t>
      </w:r>
      <w:r>
        <w:t xml:space="preserve">(11), 964–977. </w:t>
      </w:r>
      <w:hyperlink r:id="rId120">
        <w:r>
          <w:rPr>
            <w:rStyle w:val="Hyperlink"/>
          </w:rPr>
          <w:t>https://doi.org/10.1016/j.tics.2021.07.005</w:t>
        </w:r>
      </w:hyperlink>
    </w:p>
    <w:p w14:paraId="1C5D5E43" w14:textId="77777777" w:rsidR="00FC6D75" w:rsidRDefault="00000000" w:rsidP="00113FB1">
      <w:pPr>
        <w:pStyle w:val="Bibliography"/>
        <w:jc w:val="both"/>
      </w:pPr>
      <w:bookmarkStart w:id="132" w:name="ref-stout2002"/>
      <w:bookmarkEnd w:id="131"/>
      <w:r>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21">
        <w:r>
          <w:rPr>
            <w:rStyle w:val="Hyperlink"/>
          </w:rPr>
          <w:t>https://doi.org/10.1086/342638</w:t>
        </w:r>
      </w:hyperlink>
    </w:p>
    <w:p w14:paraId="44F5E6F6" w14:textId="77777777" w:rsidR="00FC6D75" w:rsidRDefault="00000000" w:rsidP="00113FB1">
      <w:pPr>
        <w:pStyle w:val="Bibliography"/>
        <w:jc w:val="both"/>
      </w:pPr>
      <w:bookmarkStart w:id="133" w:name="ref-stout2014"/>
      <w:bookmarkEnd w:id="132"/>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22">
        <w:r>
          <w:rPr>
            <w:rStyle w:val="Hyperlink"/>
          </w:rPr>
          <w:t>https://doi.org/10.1016/j.jas.2013.10.001</w:t>
        </w:r>
      </w:hyperlink>
    </w:p>
    <w:p w14:paraId="28AA552B" w14:textId="77777777" w:rsidR="00FC6D75" w:rsidRDefault="00000000" w:rsidP="00113FB1">
      <w:pPr>
        <w:pStyle w:val="Bibliography"/>
        <w:jc w:val="both"/>
      </w:pPr>
      <w:bookmarkStart w:id="134" w:name="ref-stout2011a"/>
      <w:bookmarkEnd w:id="133"/>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23">
        <w:r>
          <w:rPr>
            <w:rStyle w:val="Hyperlink"/>
          </w:rPr>
          <w:t>https://doi.org/10.1111/j.1460-9568.2011.07619.x</w:t>
        </w:r>
      </w:hyperlink>
    </w:p>
    <w:p w14:paraId="29921862" w14:textId="77777777" w:rsidR="00FC6D75" w:rsidRDefault="00000000" w:rsidP="00113FB1">
      <w:pPr>
        <w:pStyle w:val="Bibliography"/>
        <w:jc w:val="both"/>
      </w:pPr>
      <w:bookmarkStart w:id="135" w:name="ref-strachan2021"/>
      <w:bookmarkEnd w:id="134"/>
      <w:r>
        <w:t xml:space="preserve">Strachan, J. W. A., Curioni, A., Constable, M. D., Knoblich, G., &amp; Charbonneau, M. (2021). Evaluating the relative contributions of copying and reconstruction processes in cultural transmission episodes. </w:t>
      </w:r>
      <w:r>
        <w:rPr>
          <w:i/>
          <w:iCs/>
        </w:rPr>
        <w:t>PLOS ONE</w:t>
      </w:r>
      <w:r>
        <w:t xml:space="preserve">, </w:t>
      </w:r>
      <w:r>
        <w:rPr>
          <w:i/>
          <w:iCs/>
        </w:rPr>
        <w:t>16</w:t>
      </w:r>
      <w:r>
        <w:t xml:space="preserve">(9), e0256901. </w:t>
      </w:r>
      <w:hyperlink r:id="rId124">
        <w:r>
          <w:rPr>
            <w:rStyle w:val="Hyperlink"/>
          </w:rPr>
          <w:t>https://doi.org/10.1371/journal.pone.0256901</w:t>
        </w:r>
      </w:hyperlink>
    </w:p>
    <w:p w14:paraId="64BE1F32" w14:textId="77777777" w:rsidR="00FC6D75" w:rsidRDefault="00000000" w:rsidP="00113FB1">
      <w:pPr>
        <w:pStyle w:val="Bibliography"/>
        <w:jc w:val="both"/>
      </w:pPr>
      <w:bookmarkStart w:id="136" w:name="ref-wenban-smith2004"/>
      <w:bookmarkEnd w:id="135"/>
      <w:r>
        <w:lastRenderedPageBreak/>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25">
        <w:r>
          <w:rPr>
            <w:rStyle w:val="Hyperlink"/>
          </w:rPr>
          <w:t>https://eprints.soton.ac.uk/41481/</w:t>
        </w:r>
      </w:hyperlink>
    </w:p>
    <w:p w14:paraId="6CBFB8D2" w14:textId="77777777" w:rsidR="00FC6D75" w:rsidRDefault="00000000" w:rsidP="00113FB1">
      <w:pPr>
        <w:pStyle w:val="Bibliography"/>
        <w:jc w:val="both"/>
      </w:pPr>
      <w:bookmarkStart w:id="137" w:name="ref-wenban-smith2000"/>
      <w:bookmarkEnd w:id="136"/>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26">
        <w:r>
          <w:rPr>
            <w:rStyle w:val="Hyperlink"/>
          </w:rPr>
          <w:t>https://doi.org/10.1017/S0079497X0000181X</w:t>
        </w:r>
      </w:hyperlink>
    </w:p>
    <w:p w14:paraId="12225391" w14:textId="77777777" w:rsidR="00FC6D75" w:rsidRDefault="00000000" w:rsidP="00113FB1">
      <w:pPr>
        <w:pStyle w:val="Bibliography"/>
        <w:jc w:val="both"/>
      </w:pPr>
      <w:bookmarkStart w:id="138" w:name="ref-wenger1998"/>
      <w:bookmarkEnd w:id="137"/>
      <w:r>
        <w:t xml:space="preserve">Wenger, E. (1998). </w:t>
      </w:r>
      <w:r>
        <w:rPr>
          <w:i/>
          <w:iCs/>
        </w:rPr>
        <w:t>Communities of practice: Learning, meaning, and identity</w:t>
      </w:r>
      <w:r>
        <w:t>. Cambridge University Press.</w:t>
      </w:r>
    </w:p>
    <w:p w14:paraId="49EC9E25" w14:textId="77777777" w:rsidR="00FC6D75" w:rsidRDefault="00000000" w:rsidP="00113FB1">
      <w:pPr>
        <w:pStyle w:val="Bibliography"/>
        <w:jc w:val="both"/>
      </w:pPr>
      <w:bookmarkStart w:id="139" w:name="ref-white1998"/>
      <w:bookmarkEnd w:id="138"/>
      <w:r>
        <w:t xml:space="preserve">White, M. (1998). On the Significance of Acheulean Biface Variability in Southern Britain. </w:t>
      </w:r>
      <w:r>
        <w:rPr>
          <w:i/>
          <w:iCs/>
        </w:rPr>
        <w:t>Proceedings of the Prehistoric Society</w:t>
      </w:r>
      <w:r>
        <w:t xml:space="preserve">, </w:t>
      </w:r>
      <w:r>
        <w:rPr>
          <w:i/>
          <w:iCs/>
        </w:rPr>
        <w:t>64</w:t>
      </w:r>
      <w:r>
        <w:t xml:space="preserve">, 15–44. </w:t>
      </w:r>
      <w:hyperlink r:id="rId127">
        <w:r>
          <w:rPr>
            <w:rStyle w:val="Hyperlink"/>
          </w:rPr>
          <w:t>https://doi.org/10.1017/S0079497X00002164</w:t>
        </w:r>
      </w:hyperlink>
    </w:p>
    <w:p w14:paraId="157BBB53" w14:textId="77777777" w:rsidR="00FC6D75" w:rsidRDefault="00000000" w:rsidP="00113FB1">
      <w:pPr>
        <w:pStyle w:val="Bibliography"/>
        <w:jc w:val="both"/>
      </w:pPr>
      <w:bookmarkStart w:id="140" w:name="ref-white1995"/>
      <w:bookmarkEnd w:id="139"/>
      <w:r>
        <w:t xml:space="preserve">White, M. (1995). Raw materials and biface variability in southern britain: A preliminary examination. </w:t>
      </w:r>
      <w:r>
        <w:rPr>
          <w:i/>
          <w:iCs/>
        </w:rPr>
        <w:t>LithicsThe Journal of the Lithic Studies Society</w:t>
      </w:r>
      <w:r>
        <w:t xml:space="preserve">, </w:t>
      </w:r>
      <w:r>
        <w:rPr>
          <w:i/>
          <w:iCs/>
        </w:rPr>
        <w:t>15</w:t>
      </w:r>
      <w:r>
        <w:t>, 1–20.</w:t>
      </w:r>
    </w:p>
    <w:p w14:paraId="46CE1660" w14:textId="77777777" w:rsidR="00FC6D75" w:rsidRDefault="00000000" w:rsidP="00113FB1">
      <w:pPr>
        <w:pStyle w:val="Bibliography"/>
        <w:jc w:val="both"/>
      </w:pPr>
      <w:bookmarkStart w:id="141" w:name="ref-white2018"/>
      <w:bookmarkEnd w:id="140"/>
      <w:r>
        <w:t xml:space="preserve">White, M.,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28">
        <w:r>
          <w:rPr>
            <w:rStyle w:val="Hyperlink"/>
          </w:rPr>
          <w:t>https://doi.org/10.15184/aqy.2018.35</w:t>
        </w:r>
      </w:hyperlink>
    </w:p>
    <w:p w14:paraId="6B3D35B1" w14:textId="77777777" w:rsidR="00FC6D75" w:rsidRDefault="00000000" w:rsidP="00113FB1">
      <w:pPr>
        <w:pStyle w:val="Bibliography"/>
        <w:jc w:val="both"/>
      </w:pPr>
      <w:bookmarkStart w:id="142" w:name="ref-whittaker2004"/>
      <w:bookmarkEnd w:id="141"/>
      <w:r>
        <w:t xml:space="preserve">Whittaker, J. C. (2004). </w:t>
      </w:r>
      <w:r>
        <w:rPr>
          <w:i/>
          <w:iCs/>
        </w:rPr>
        <w:t>American Flintknappers: Stone Age Art in the Age of Computers</w:t>
      </w:r>
      <w:r>
        <w:t>. University of Texas Press.</w:t>
      </w:r>
    </w:p>
    <w:p w14:paraId="2641B8D2" w14:textId="77777777" w:rsidR="00FC6D75" w:rsidRDefault="00000000" w:rsidP="00113FB1">
      <w:pPr>
        <w:pStyle w:val="Bibliography"/>
        <w:jc w:val="both"/>
      </w:pPr>
      <w:bookmarkStart w:id="143" w:name="ref-winton2005"/>
      <w:bookmarkEnd w:id="142"/>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425C0AF5" w14:textId="77777777" w:rsidR="00FC6D75" w:rsidRDefault="00000000" w:rsidP="00113FB1">
      <w:pPr>
        <w:pStyle w:val="Bibliography"/>
        <w:jc w:val="both"/>
      </w:pPr>
      <w:bookmarkStart w:id="144" w:name="ref-wynn2021"/>
      <w:bookmarkEnd w:id="143"/>
      <w:r>
        <w:t xml:space="preserve">Wynn, T. (2021). Ergonomic clusters and displaced affordances in early lithic technology. </w:t>
      </w:r>
      <w:r>
        <w:rPr>
          <w:i/>
          <w:iCs/>
        </w:rPr>
        <w:t>Adaptive Behavior</w:t>
      </w:r>
      <w:r>
        <w:t xml:space="preserve">, </w:t>
      </w:r>
      <w:r>
        <w:rPr>
          <w:i/>
          <w:iCs/>
        </w:rPr>
        <w:t>29</w:t>
      </w:r>
      <w:r>
        <w:t xml:space="preserve">(2), 181–195. </w:t>
      </w:r>
      <w:hyperlink r:id="rId129">
        <w:r>
          <w:rPr>
            <w:rStyle w:val="Hyperlink"/>
          </w:rPr>
          <w:t>https://doi.org/10.1177/1059712320932333</w:t>
        </w:r>
      </w:hyperlink>
    </w:p>
    <w:p w14:paraId="601D3B75" w14:textId="77777777" w:rsidR="00FC6D75" w:rsidRDefault="00000000" w:rsidP="00113FB1">
      <w:pPr>
        <w:pStyle w:val="Bibliography"/>
        <w:jc w:val="both"/>
      </w:pPr>
      <w:bookmarkStart w:id="145" w:name="ref-wynn2018"/>
      <w:bookmarkEnd w:id="144"/>
      <w:r>
        <w:t xml:space="preserve">Wynn, T., &amp; Gowlett, J. (2018). The handaxe reconsidered. </w:t>
      </w:r>
      <w:r>
        <w:rPr>
          <w:i/>
          <w:iCs/>
        </w:rPr>
        <w:t>Evolutionary Anthropology: Issues, News, and Reviews</w:t>
      </w:r>
      <w:r>
        <w:t xml:space="preserve">, </w:t>
      </w:r>
      <w:r>
        <w:rPr>
          <w:i/>
          <w:iCs/>
        </w:rPr>
        <w:t>27</w:t>
      </w:r>
      <w:r>
        <w:t xml:space="preserve">(1), 21–29. </w:t>
      </w:r>
      <w:hyperlink r:id="rId130">
        <w:r>
          <w:rPr>
            <w:rStyle w:val="Hyperlink"/>
          </w:rPr>
          <w:t>https://doi.org/10.1002/evan.21552</w:t>
        </w:r>
      </w:hyperlink>
      <w:bookmarkEnd w:id="17"/>
      <w:bookmarkEnd w:id="19"/>
      <w:bookmarkEnd w:id="145"/>
    </w:p>
    <w:sectPr w:rsidR="00FC6D7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EAA2E" w14:textId="77777777" w:rsidR="00E514FC" w:rsidRDefault="00E514FC">
      <w:pPr>
        <w:spacing w:after="0"/>
      </w:pPr>
      <w:r>
        <w:separator/>
      </w:r>
    </w:p>
  </w:endnote>
  <w:endnote w:type="continuationSeparator" w:id="0">
    <w:p w14:paraId="348B667B" w14:textId="77777777" w:rsidR="00E514FC" w:rsidRDefault="00E514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BBC49" w14:textId="77777777" w:rsidR="00E514FC" w:rsidRDefault="00E514FC">
      <w:r>
        <w:separator/>
      </w:r>
    </w:p>
  </w:footnote>
  <w:footnote w:type="continuationSeparator" w:id="0">
    <w:p w14:paraId="392C59DF" w14:textId="77777777" w:rsidR="00E514FC" w:rsidRDefault="00E514FC">
      <w:r>
        <w:continuationSeparator/>
      </w:r>
    </w:p>
  </w:footnote>
  <w:footnote w:id="1">
    <w:p w14:paraId="7D3DA726" w14:textId="77777777" w:rsidR="00FC6D75"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41424D0C" w14:textId="77777777" w:rsidR="00FC6D75"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2792A319" w14:textId="77777777" w:rsidR="00FC6D75"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3F87B279" w14:textId="77777777" w:rsidR="00FC6D75"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 w:numId="2" w16cid:durableId="1720057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D75"/>
    <w:rsid w:val="00113FB1"/>
    <w:rsid w:val="00E514FC"/>
    <w:rsid w:val="00FC6D75"/>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18B87"/>
  <w15:docId w15:val="{C66E1E3E-B9CD-443E-A930-4CBA72BA7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7/aap.2017.37" TargetMode="External"/><Relationship Id="rId21" Type="http://schemas.openxmlformats.org/officeDocument/2006/relationships/hyperlink" Target="https://doi.org/10.1086/718201" TargetMode="External"/><Relationship Id="rId42" Type="http://schemas.openxmlformats.org/officeDocument/2006/relationships/hyperlink" Target="https://doi.org/10.1007/s41982-020-00054-5" TargetMode="External"/><Relationship Id="rId47" Type="http://schemas.openxmlformats.org/officeDocument/2006/relationships/hyperlink" Target="https://doi.org/10.1016/j.jasrep.2017.05.013" TargetMode="External"/><Relationship Id="rId63" Type="http://schemas.openxmlformats.org/officeDocument/2006/relationships/hyperlink" Target="https://doi.org/10.1007/s10816-021-09521-x" TargetMode="External"/><Relationship Id="rId68" Type="http://schemas.openxmlformats.org/officeDocument/2006/relationships/hyperlink" Target="https://doi.org/10.1017/ehs.2020.35" TargetMode="External"/><Relationship Id="rId84" Type="http://schemas.openxmlformats.org/officeDocument/2006/relationships/hyperlink" Target="https://doi.org/10.1016/j.crpv.2015.09.010" TargetMode="External"/><Relationship Id="rId89" Type="http://schemas.openxmlformats.org/officeDocument/2006/relationships/hyperlink" Target="https://doi.org/10.1017/S0140525X02330073" TargetMode="External"/><Relationship Id="rId112" Type="http://schemas.openxmlformats.org/officeDocument/2006/relationships/hyperlink" Target="https://doi.org/10.1016/j.jhevol.2013.03.007" TargetMode="External"/><Relationship Id="rId16" Type="http://schemas.openxmlformats.org/officeDocument/2006/relationships/image" Target="media/image8.png"/><Relationship Id="rId107" Type="http://schemas.openxmlformats.org/officeDocument/2006/relationships/hyperlink" Target="https://doi.org/10.1007/s10816-016-9280-4" TargetMode="External"/><Relationship Id="rId11" Type="http://schemas.openxmlformats.org/officeDocument/2006/relationships/image" Target="media/image3.png"/><Relationship Id="rId32" Type="http://schemas.openxmlformats.org/officeDocument/2006/relationships/hyperlink" Target="https://doi.org/10.1002/evan.21467" TargetMode="External"/><Relationship Id="rId37" Type="http://schemas.openxmlformats.org/officeDocument/2006/relationships/hyperlink" Target="https://doi.org/10.1007/s10814-007-9013-z" TargetMode="External"/><Relationship Id="rId53" Type="http://schemas.openxmlformats.org/officeDocument/2006/relationships/hyperlink" Target="https://doi.org/10.1017/S0959774321000251" TargetMode="External"/><Relationship Id="rId58" Type="http://schemas.openxmlformats.org/officeDocument/2006/relationships/hyperlink" Target="https://doi.org/10.1007/s10816-016-9276-0" TargetMode="External"/><Relationship Id="rId74" Type="http://schemas.openxmlformats.org/officeDocument/2006/relationships/hyperlink" Target="https://doi.org/10.1016/j.jas.2005.10.014" TargetMode="External"/><Relationship Id="rId79" Type="http://schemas.openxmlformats.org/officeDocument/2006/relationships/hyperlink" Target="https://doi.org/10.1086/423973" TargetMode="External"/><Relationship Id="rId102" Type="http://schemas.openxmlformats.org/officeDocument/2006/relationships/hyperlink" Target="https://doi.org/10.1080/00438243.1995.9980293" TargetMode="External"/><Relationship Id="rId123" Type="http://schemas.openxmlformats.org/officeDocument/2006/relationships/hyperlink" Target="https://doi.org/10.1111/j.1460-9568.2011.07619.x" TargetMode="External"/><Relationship Id="rId128" Type="http://schemas.openxmlformats.org/officeDocument/2006/relationships/hyperlink" Target="https://doi.org/10.15184/aqy.2018.35" TargetMode="External"/><Relationship Id="rId5" Type="http://schemas.openxmlformats.org/officeDocument/2006/relationships/footnotes" Target="footnotes.xml"/><Relationship Id="rId90" Type="http://schemas.openxmlformats.org/officeDocument/2006/relationships/hyperlink" Target="http://www.upcolorado.com/book/Stone_Tools_and_the_Evolution_of_Human_Cognition_Paper" TargetMode="External"/><Relationship Id="rId95" Type="http://schemas.openxmlformats.org/officeDocument/2006/relationships/hyperlink" Target="https://doi.org/10.1006/jasc.1996.0145" TargetMode="External"/><Relationship Id="rId22" Type="http://schemas.openxmlformats.org/officeDocument/2006/relationships/hyperlink" Target="https://www.jstor.org/stable/40345992" TargetMode="External"/><Relationship Id="rId27" Type="http://schemas.openxmlformats.org/officeDocument/2006/relationships/hyperlink" Target="https://doi.org/10.1016/j.jasrep.2020.102649" TargetMode="External"/><Relationship Id="rId43" Type="http://schemas.openxmlformats.org/officeDocument/2006/relationships/hyperlink" Target="https://doi.org/10.2218/jls.4327" TargetMode="External"/><Relationship Id="rId48" Type="http://schemas.openxmlformats.org/officeDocument/2006/relationships/hyperlink" Target="https://doi.org/10.1016/j.jhevol.2010.06.004" TargetMode="External"/><Relationship Id="rId64" Type="http://schemas.openxmlformats.org/officeDocument/2006/relationships/hyperlink" Target="https://doi.org/10.1098/rspb.2015.1019" TargetMode="External"/><Relationship Id="rId69" Type="http://schemas.openxmlformats.org/officeDocument/2006/relationships/hyperlink" Target="https://doi.org/10.1002/evan.21964" TargetMode="External"/><Relationship Id="rId113" Type="http://schemas.openxmlformats.org/officeDocument/2006/relationships/hyperlink" Target="https://doi.org/10.1017/S0003598X00098987" TargetMode="External"/><Relationship Id="rId118" Type="http://schemas.openxmlformats.org/officeDocument/2006/relationships/hyperlink" Target="https://doi.org/10.1080/00438243.2012.725889" TargetMode="External"/><Relationship Id="rId80" Type="http://schemas.openxmlformats.org/officeDocument/2006/relationships/hyperlink" Target="https://doi.org/10.1016/j.jasrep.2015.06.004" TargetMode="External"/><Relationship Id="rId85" Type="http://schemas.openxmlformats.org/officeDocument/2006/relationships/hyperlink" Target="https://doi.org/10.1016/j.jasrep.2021.103188"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06/jhev.1993.1043" TargetMode="External"/><Relationship Id="rId38" Type="http://schemas.openxmlformats.org/officeDocument/2006/relationships/hyperlink" Target="https://doi.org/10.1016/j.jas.2014.05.034" TargetMode="External"/><Relationship Id="rId59" Type="http://schemas.openxmlformats.org/officeDocument/2006/relationships/hyperlink" Target="https://doi.org/10.1111/arcm.12439" TargetMode="External"/><Relationship Id="rId103" Type="http://schemas.openxmlformats.org/officeDocument/2006/relationships/hyperlink" Target="https://doi.org/10.1186/s12859-017-1934-z" TargetMode="External"/><Relationship Id="rId108" Type="http://schemas.openxmlformats.org/officeDocument/2006/relationships/hyperlink" Target="https://doi.org/10.1016/j.evolhumbehav.2015.04.003" TargetMode="External"/><Relationship Id="rId124" Type="http://schemas.openxmlformats.org/officeDocument/2006/relationships/hyperlink" Target="https://doi.org/10.1371/journal.pone.0256901" TargetMode="External"/><Relationship Id="rId129" Type="http://schemas.openxmlformats.org/officeDocument/2006/relationships/hyperlink" Target="https://doi.org/10.1177/1059712320932333" TargetMode="External"/><Relationship Id="rId54" Type="http://schemas.openxmlformats.org/officeDocument/2006/relationships/hyperlink" Target="https://doi.org/10.1016/j.jhevol.2011.02.007" TargetMode="External"/><Relationship Id="rId70" Type="http://schemas.openxmlformats.org/officeDocument/2006/relationships/hyperlink" Target="https://doi.org/10.1016/j.jhevol.2022.103253" TargetMode="External"/><Relationship Id="rId75" Type="http://schemas.openxmlformats.org/officeDocument/2006/relationships/hyperlink" Target="https://doi.org/10.1007/s10816-004-1420-6" TargetMode="External"/><Relationship Id="rId91" Type="http://schemas.openxmlformats.org/officeDocument/2006/relationships/hyperlink" Target="https://doi.org/10.1007/s10437-021-09460-8" TargetMode="External"/><Relationship Id="rId96" Type="http://schemas.openxmlformats.org/officeDocument/2006/relationships/hyperlink" Target="https://doi.org/10.1093/acprof:oso/9780198522638.003.001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38/s42003-021-02768-w" TargetMode="External"/><Relationship Id="rId28" Type="http://schemas.openxmlformats.org/officeDocument/2006/relationships/hyperlink" Target="https://doi.org/10.1016/j.jasrep.2021.103121" TargetMode="External"/><Relationship Id="rId49" Type="http://schemas.openxmlformats.org/officeDocument/2006/relationships/hyperlink" Target="https://doi.org/10.1016/j.jasrep.2015.02.002" TargetMode="External"/><Relationship Id="rId114" Type="http://schemas.openxmlformats.org/officeDocument/2006/relationships/hyperlink" Target="https://doi.org/10.1016/j.jasrep.2020.102352" TargetMode="External"/><Relationship Id="rId119" Type="http://schemas.openxmlformats.org/officeDocument/2006/relationships/hyperlink" Target="https://doi.org/10.1111/j.1525-142X.2004.04035.x" TargetMode="External"/><Relationship Id="rId44" Type="http://schemas.openxmlformats.org/officeDocument/2006/relationships/hyperlink" Target="https://doi.org/10.1007/s10816-018-9376-0" TargetMode="External"/><Relationship Id="rId60" Type="http://schemas.openxmlformats.org/officeDocument/2006/relationships/hyperlink" Target="https://doi.org/10.1016/j.jaa.2016.08.002" TargetMode="External"/><Relationship Id="rId65" Type="http://schemas.openxmlformats.org/officeDocument/2006/relationships/hyperlink" Target="https://doi.org/10.1016/j.crpv.2005.12.003" TargetMode="External"/><Relationship Id="rId81" Type="http://schemas.openxmlformats.org/officeDocument/2006/relationships/hyperlink" Target="https://pdf.printfriendly.com/pdfs/make" TargetMode="External"/><Relationship Id="rId86" Type="http://schemas.openxmlformats.org/officeDocument/2006/relationships/hyperlink" Target="https://doi.org/10.1017/S0959774320000190" TargetMode="External"/><Relationship Id="rId130" Type="http://schemas.openxmlformats.org/officeDocument/2006/relationships/hyperlink" Target="https://doi.org/10.1002/evan.21552"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1371/journal.pone.0013718" TargetMode="External"/><Relationship Id="rId109" Type="http://schemas.openxmlformats.org/officeDocument/2006/relationships/hyperlink" Target="https://doi.org/10.1016/j.jas.2007.09.004" TargetMode="External"/><Relationship Id="rId34" Type="http://schemas.openxmlformats.org/officeDocument/2006/relationships/hyperlink" Target="https://doi.org/10.1016/j.jaa.2019.101107" TargetMode="External"/><Relationship Id="rId50" Type="http://schemas.openxmlformats.org/officeDocument/2006/relationships/hyperlink" Target="https://doi.org/10.24885/sab.v31i2.613" TargetMode="External"/><Relationship Id="rId55" Type="http://schemas.openxmlformats.org/officeDocument/2006/relationships/hyperlink" Target="https://doi.org/10.1371/journal.pone.0177063" TargetMode="External"/><Relationship Id="rId76" Type="http://schemas.openxmlformats.org/officeDocument/2006/relationships/hyperlink" Target="https://doi.org/10.1016/j.jas.2006.09.008" TargetMode="External"/><Relationship Id="rId97" Type="http://schemas.openxmlformats.org/officeDocument/2006/relationships/hyperlink" Target="https://doi.org/10.4324/9780203203279" TargetMode="External"/><Relationship Id="rId104" Type="http://schemas.openxmlformats.org/officeDocument/2006/relationships/hyperlink" Target="https://doi.org/10.1177/2515245918808784" TargetMode="External"/><Relationship Id="rId120" Type="http://schemas.openxmlformats.org/officeDocument/2006/relationships/hyperlink" Target="https://doi.org/10.1016/j.tics.2021.07.005" TargetMode="External"/><Relationship Id="rId125" Type="http://schemas.openxmlformats.org/officeDocument/2006/relationships/hyperlink" Target="https://eprints.soton.ac.uk/41481/" TargetMode="External"/><Relationship Id="rId7" Type="http://schemas.openxmlformats.org/officeDocument/2006/relationships/image" Target="media/image1.jpg"/><Relationship Id="rId71" Type="http://schemas.openxmlformats.org/officeDocument/2006/relationships/hyperlink" Target="https://doi.org/10.1007/s10816-013-9200-9" TargetMode="External"/><Relationship Id="rId92" Type="http://schemas.openxmlformats.org/officeDocument/2006/relationships/hyperlink" Target="https://doi.org/10.1016/j.jhevol.2020.102807" TargetMode="External"/><Relationship Id="rId2" Type="http://schemas.openxmlformats.org/officeDocument/2006/relationships/styles" Target="styles.xml"/><Relationship Id="rId29" Type="http://schemas.openxmlformats.org/officeDocument/2006/relationships/hyperlink" Target="https://doi.org/10.1163/15685373-12340145" TargetMode="External"/><Relationship Id="rId24" Type="http://schemas.openxmlformats.org/officeDocument/2006/relationships/hyperlink" Target="https://doi.org/10.1016/j.jas.2009.04.014" TargetMode="External"/><Relationship Id="rId40" Type="http://schemas.openxmlformats.org/officeDocument/2006/relationships/hyperlink" Target="https://doi.org/10.1017/aap.2018.2" TargetMode="External"/><Relationship Id="rId45" Type="http://schemas.openxmlformats.org/officeDocument/2006/relationships/hyperlink" Target="https://www.frontiersin.org/articles/10.3389/feart.2022.917207" TargetMode="External"/><Relationship Id="rId66" Type="http://schemas.openxmlformats.org/officeDocument/2006/relationships/hyperlink" Target="https://doi.org/10.18637/jss.v025.i01" TargetMode="External"/><Relationship Id="rId87" Type="http://schemas.openxmlformats.org/officeDocument/2006/relationships/hyperlink" Target="https://doi.org/10.1080/00438243.2011.624778" TargetMode="External"/><Relationship Id="rId110" Type="http://schemas.openxmlformats.org/officeDocument/2006/relationships/hyperlink" Target="https://doi.org/10.1016/j.jhevol.2009.11.012" TargetMode="External"/><Relationship Id="rId115" Type="http://schemas.openxmlformats.org/officeDocument/2006/relationships/hyperlink" Target="https://doi.org/10.1016/j.jas.2013.05.002" TargetMode="External"/><Relationship Id="rId131" Type="http://schemas.openxmlformats.org/officeDocument/2006/relationships/fontTable" Target="fontTable.xml"/><Relationship Id="rId61" Type="http://schemas.openxmlformats.org/officeDocument/2006/relationships/hyperlink" Target="https://doi.org/10.7183/2326-3768.1.1.37" TargetMode="External"/><Relationship Id="rId82" Type="http://schemas.openxmlformats.org/officeDocument/2006/relationships/hyperlink" Target="https://doi.org/10.1016/j.crpv.2015.11.007"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oi.org/10.1037/0012-1649.25.6.894" TargetMode="External"/><Relationship Id="rId35" Type="http://schemas.openxmlformats.org/officeDocument/2006/relationships/hyperlink" Target="https://doi.org/10.1016/j.jas.2014.04.008" TargetMode="External"/><Relationship Id="rId56" Type="http://schemas.openxmlformats.org/officeDocument/2006/relationships/hyperlink" Target="https://doi.org/10.1371/journal.pone.0048333" TargetMode="External"/><Relationship Id="rId77" Type="http://schemas.openxmlformats.org/officeDocument/2006/relationships/hyperlink" Target="https://doi.org/10.1007/s10816-015-9272-9" TargetMode="External"/><Relationship Id="rId100" Type="http://schemas.openxmlformats.org/officeDocument/2006/relationships/hyperlink" Target="https://doi.org/10.1038/369311a0" TargetMode="External"/><Relationship Id="rId105" Type="http://schemas.openxmlformats.org/officeDocument/2006/relationships/hyperlink" Target="https://doi.org/10.7183/0002-7316.79.1.128" TargetMode="External"/><Relationship Id="rId126" Type="http://schemas.openxmlformats.org/officeDocument/2006/relationships/hyperlink" Target="https://doi.org/10.1017/S0079497X0000181X" TargetMode="External"/><Relationship Id="rId8" Type="http://schemas.openxmlformats.org/officeDocument/2006/relationships/hyperlink" Target="https://neolithics.com/" TargetMode="External"/><Relationship Id="rId51" Type="http://schemas.openxmlformats.org/officeDocument/2006/relationships/hyperlink" Target="https://doi.org/10.1016/j.quascirev.2009.02.024" TargetMode="External"/><Relationship Id="rId72" Type="http://schemas.openxmlformats.org/officeDocument/2006/relationships/hyperlink" Target="https://www.jstor.org/stable/40388215" TargetMode="External"/><Relationship Id="rId93" Type="http://schemas.openxmlformats.org/officeDocument/2006/relationships/hyperlink" Target="https://doi.org/10.1016/j.jhevol.2019.05.010" TargetMode="External"/><Relationship Id="rId98" Type="http://schemas.openxmlformats.org/officeDocument/2006/relationships/hyperlink" Target="https://doi.org/10.1002/jqs.3409" TargetMode="External"/><Relationship Id="rId121" Type="http://schemas.openxmlformats.org/officeDocument/2006/relationships/hyperlink" Target="https://doi.org/10.1086/342638" TargetMode="External"/><Relationship Id="rId3" Type="http://schemas.openxmlformats.org/officeDocument/2006/relationships/settings" Target="settings.xml"/><Relationship Id="rId25" Type="http://schemas.openxmlformats.org/officeDocument/2006/relationships/hyperlink" Target="https://www.jstor.org/stable/40914177" TargetMode="External"/><Relationship Id="rId46" Type="http://schemas.openxmlformats.org/officeDocument/2006/relationships/hyperlink" Target="https://doi.org/10.1177/1059712320965713" TargetMode="External"/><Relationship Id="rId67" Type="http://schemas.openxmlformats.org/officeDocument/2006/relationships/hyperlink" Target="https://doi.org/10.1002/gea.21904" TargetMode="External"/><Relationship Id="rId116" Type="http://schemas.openxmlformats.org/officeDocument/2006/relationships/hyperlink" Target="https://dialnet.unirioja.es/servlet/articulo?codigo=5002455" TargetMode="External"/><Relationship Id="rId20" Type="http://schemas.openxmlformats.org/officeDocument/2006/relationships/hyperlink" Target="https://doi.org/10.1016/j.jhevol.2021.103011" TargetMode="External"/><Relationship Id="rId41" Type="http://schemas.openxmlformats.org/officeDocument/2006/relationships/hyperlink" Target="https://doi.org/10.2307/1164979" TargetMode="External"/><Relationship Id="rId62" Type="http://schemas.openxmlformats.org/officeDocument/2006/relationships/hyperlink" Target="https://doi.org/10.1017/S0003598X00065078" TargetMode="External"/><Relationship Id="rId83" Type="http://schemas.openxmlformats.org/officeDocument/2006/relationships/hyperlink" Target="https://doi.org/10.1016/j.crpv.2015.09.009" TargetMode="External"/><Relationship Id="rId88" Type="http://schemas.openxmlformats.org/officeDocument/2006/relationships/hyperlink" Target="https://doi.org/10.1371/journal.pone.0158803" TargetMode="External"/><Relationship Id="rId111" Type="http://schemas.openxmlformats.org/officeDocument/2006/relationships/hyperlink" Target="https://doi.org/10.1016/j.jasrep.2015.06.029" TargetMode="External"/><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yperlink" Target="https://doi.org/10.1016/j.jaa.2005.08.001" TargetMode="External"/><Relationship Id="rId57" Type="http://schemas.openxmlformats.org/officeDocument/2006/relationships/hyperlink" Target="https://doi.org/10.1016/j.crpv.2019.04.008" TargetMode="External"/><Relationship Id="rId106" Type="http://schemas.openxmlformats.org/officeDocument/2006/relationships/hyperlink" Target="https://doi.org/10.1371/journal.pone.0097157" TargetMode="External"/><Relationship Id="rId127" Type="http://schemas.openxmlformats.org/officeDocument/2006/relationships/hyperlink" Target="https://doi.org/10.1017/S0079497X00002164" TargetMode="External"/><Relationship Id="rId10" Type="http://schemas.openxmlformats.org/officeDocument/2006/relationships/hyperlink" Target="https://github.com/Raylc/Boxgrove-Exp" TargetMode="External"/><Relationship Id="rId31" Type="http://schemas.openxmlformats.org/officeDocument/2006/relationships/hyperlink" Target="https://doi.org/10.1002/evan.21864" TargetMode="External"/><Relationship Id="rId52" Type="http://schemas.openxmlformats.org/officeDocument/2006/relationships/hyperlink" Target="https://doi.org/10.1017/aap.2018.1" TargetMode="External"/><Relationship Id="rId73" Type="http://schemas.openxmlformats.org/officeDocument/2006/relationships/hyperlink" Target="https://doi.org/10.1016/j.quaint.2015.08.021" TargetMode="External"/><Relationship Id="rId78" Type="http://schemas.openxmlformats.org/officeDocument/2006/relationships/hyperlink" Target="https://doi.org/10.1017/aap.2018.3" TargetMode="External"/><Relationship Id="rId94" Type="http://schemas.openxmlformats.org/officeDocument/2006/relationships/hyperlink" Target="https://doi.org/10.21105/joss.03167" TargetMode="External"/><Relationship Id="rId99" Type="http://schemas.openxmlformats.org/officeDocument/2006/relationships/hyperlink" Target="https://www.R-project.org/" TargetMode="External"/><Relationship Id="rId101" Type="http://schemas.openxmlformats.org/officeDocument/2006/relationships/hyperlink" Target="https://doi.org/10.1017/S0079497X00013840" TargetMode="External"/><Relationship Id="rId122" Type="http://schemas.openxmlformats.org/officeDocument/2006/relationships/hyperlink" Target="https://doi.org/10.1016/j.jas.2013.10.001"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i.org/10.1080/01977261.2021.192445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13195</Words>
  <Characters>75217</Characters>
  <Application>Microsoft Office Word</Application>
  <DocSecurity>0</DocSecurity>
  <Lines>626</Lines>
  <Paragraphs>176</Paragraphs>
  <ScaleCrop>false</ScaleCrop>
  <Company/>
  <LinksUpToDate>false</LinksUpToDate>
  <CharactersWithSpaces>88236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Dissecting the interaction between skill level and mental templates in Late Acheulean handaxe morphology: Archaeological and experimental insights</dc:title>
  <dc:creator>Cheng Liu;Nada Khreisheh;Dietrich Stout;Justin Pargeter</dc:creator>
  <cp:keywords/>
  <cp:lastModifiedBy>Liu, Cheng</cp:lastModifiedBy>
  <cp:revision>2</cp:revision>
  <dcterms:created xsi:type="dcterms:W3CDTF">2023-01-20T06:18:00Z</dcterms:created>
  <dcterms:modified xsi:type="dcterms:W3CDTF">2023-01-20T06:18:00Z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